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F4E79"/>
          <w:sz w:val="52"/>
        </w:rPr>
        <w:t>Análisis de Rentabilidad Comercial</w:t>
      </w:r>
    </w:p>
    <w:p>
      <w:pPr>
        <w:jc w:val="center"/>
      </w:pPr>
      <w:r>
        <w:rPr>
          <w:color w:val="2E75B6"/>
          <w:sz w:val="36"/>
        </w:rPr>
        <w:t>Retail Multi-sucursal</w:t>
      </w:r>
    </w:p>
    <w:p/>
    <w:p>
      <w:pPr>
        <w:pBdr>
          <w:bottom w:val="single" w:sz="6" w:space="1" w:color="2E75B6"/>
        </w:pBdr>
      </w:pPr>
    </w:p>
    <w:p/>
    <w:p>
      <w:pPr>
        <w:jc w:val="center"/>
      </w:pPr>
      <w:r>
        <w:rPr>
          <w:b/>
          <w:color w:val="3D3D3D"/>
          <w:sz w:val="22"/>
        </w:rPr>
        <w:t xml:space="preserve">Empresa analizada: </w:t>
      </w:r>
      <w:r>
        <w:rPr>
          <w:color w:val="595959"/>
          <w:sz w:val="22"/>
        </w:rPr>
        <w:t>TiendaNova S.A. — Cadena minorista, 5 sucursales</w:t>
      </w:r>
    </w:p>
    <w:p>
      <w:pPr>
        <w:jc w:val="center"/>
      </w:pPr>
      <w:r>
        <w:rPr>
          <w:b/>
          <w:color w:val="3D3D3D"/>
          <w:sz w:val="22"/>
        </w:rPr>
        <w:t xml:space="preserve">Período analizado: </w:t>
      </w:r>
      <w:r>
        <w:rPr>
          <w:color w:val="595959"/>
          <w:sz w:val="22"/>
        </w:rPr>
        <w:t>Enero 2024 – Diciembre 2025 (24 meses)</w:t>
      </w:r>
    </w:p>
    <w:p>
      <w:pPr>
        <w:jc w:val="center"/>
      </w:pPr>
      <w:r>
        <w:rPr>
          <w:b/>
          <w:color w:val="3D3D3D"/>
          <w:sz w:val="22"/>
        </w:rPr>
        <w:t xml:space="preserve">Herramienta: </w:t>
      </w:r>
      <w:r>
        <w:rPr>
          <w:color w:val="595959"/>
          <w:sz w:val="22"/>
        </w:rPr>
        <w:t>SQL (SQLite) — Esquema estrella, 5 consultas de negocio</w:t>
      </w:r>
    </w:p>
    <w:p>
      <w:pPr>
        <w:jc w:val="center"/>
      </w:pPr>
      <w:r>
        <w:rPr>
          <w:b/>
          <w:color w:val="3D3D3D"/>
          <w:sz w:val="22"/>
        </w:rPr>
        <w:t xml:space="preserve">Analista: </w:t>
      </w:r>
      <w:r>
        <w:rPr>
          <w:color w:val="595959"/>
          <w:sz w:val="22"/>
        </w:rPr>
        <w:t>Luciano Villagrán — Analista de Datos</w:t>
      </w:r>
    </w:p>
    <w:p>
      <w:pPr>
        <w:jc w:val="center"/>
      </w:pPr>
      <w:r>
        <w:rPr>
          <w:b/>
          <w:color w:val="3D3D3D"/>
          <w:sz w:val="22"/>
        </w:rPr>
        <w:t xml:space="preserve">Fecha: </w:t>
      </w:r>
      <w:r>
        <w:rPr>
          <w:color w:val="595959"/>
          <w:sz w:val="22"/>
        </w:rPr>
        <w:t>01 de julio de 2026</w:t>
      </w:r>
    </w:p>
    <w:p>
      <w:r>
        <w:br w:type="page"/>
      </w:r>
    </w:p>
    <w:p>
      <w:pPr>
        <w:pStyle w:val="Heading1"/>
      </w:pPr>
      <w:r>
        <w:rPr>
          <w:b/>
          <w:color w:val="1F4E79"/>
          <w:sz w:val="28"/>
        </w:rPr>
        <w:t>1. Resumen Ejecutivo</w:t>
      </w:r>
    </w:p>
    <w:p>
      <w:pPr>
        <w:pBdr>
          <w:bottom w:val="single" w:sz="6" w:space="1" w:color="2E75B6"/>
        </w:pBdr>
      </w:pPr>
    </w:p>
    <w:p>
      <w:pPr>
        <w:spacing w:before="80" w:after="80"/>
        <w:ind w:left="283"/>
        <w:shd w:val="clear" w:color="auto" w:fill="FFF2CC"/>
      </w:pPr>
      <w:r>
        <w:rPr>
          <w:b/>
          <w:color w:val="1F4E79"/>
          <w:sz w:val="24"/>
        </w:rPr>
        <w:t xml:space="preserve">  Impacto total identificado: ~$2,0 M/año  +  ~$79.000 de capital liberado</w:t>
        <w:br/>
        <w:t xml:space="preserve">  Sobre un margen anual de ~$24,9 M → representa el 8 % de mejora de margen</w:t>
      </w:r>
    </w:p>
    <w:p/>
    <w:p>
      <w:pPr>
        <w:spacing w:before="0"/>
        <w:jc w:val="left"/>
      </w:pPr>
      <w:r>
        <w:rPr>
          <w:b w:val="0"/>
          <w:i w:val="0"/>
          <w:color w:val="3D3D3D"/>
          <w:sz w:val="22"/>
        </w:rPr>
        <w:t>El problema: TiendaNova facturaba $176,6 M en 24 meses con un margen promedio del 28,2 %, aparentemente saludable. Sin embargo, la rentabilidad se gestionaba 'a ojo': no existía visibilidad sobre qué productos se vendían a pérdida, qué clientes habían dejado de comprar ni por qué una sucursal rendía menos que el resto.</w:t>
      </w:r>
    </w:p>
    <w:p>
      <w:pPr>
        <w:spacing w:before="80"/>
        <w:jc w:val="left"/>
      </w:pPr>
      <w:r>
        <w:rPr>
          <w:b w:val="0"/>
          <w:i w:val="0"/>
          <w:color w:val="3D3D3D"/>
          <w:sz w:val="22"/>
        </w:rPr>
        <w:t>La solución: modelé los datos en un esquema estrella (tabla de hechos ventas + 3 dimensiones: clientes, productos y sucursales) y escribí 5 consultas SQL que detectan exactamente dónde se fuga el margen. Cada consulta responde una pregunta de negocio y termina con un número accionable.</w:t>
      </w:r>
    </w:p>
    <w:p>
      <w:pPr>
        <w:spacing w:before="80"/>
        <w:jc w:val="left"/>
      </w:pPr>
      <w:r>
        <w:rPr>
          <w:b w:val="0"/>
          <w:i w:val="0"/>
          <w:color w:val="3D3D3D"/>
          <w:sz w:val="22"/>
        </w:rPr>
        <w:t>El resultado: identifiqué $2,0 M/año de margen recuperable en 4 hallazgos accionables, sin incorporar un solo cliente nuevo y sin invertir en marketing. Solo dejando de perder lo que ya se estaba perdiendo.</w:t>
      </w:r>
    </w:p>
    <w:p>
      <w:r>
        <w:br w:type="page"/>
      </w:r>
    </w:p>
    <w:p>
      <w:pPr>
        <w:pStyle w:val="Heading1"/>
      </w:pPr>
      <w:r>
        <w:rPr>
          <w:b/>
          <w:color w:val="1F4E79"/>
          <w:sz w:val="28"/>
        </w:rPr>
        <w:t>2. Metodología y Datos</w:t>
      </w:r>
    </w:p>
    <w:p>
      <w:pPr>
        <w:pBdr>
          <w:bottom w:val="single" w:sz="6" w:space="1" w:color="2E75B6"/>
        </w:pBdr>
      </w:pPr>
    </w:p>
    <w:p>
      <w:pPr>
        <w:spacing w:before="80"/>
        <w:jc w:val="left"/>
      </w:pPr>
      <w:r>
        <w:rPr>
          <w:b/>
          <w:i w:val="0"/>
          <w:color w:val="1F4E79"/>
          <w:sz w:val="22"/>
        </w:rPr>
        <w:t>Fuente de datos</w:t>
      </w:r>
    </w:p>
    <w:p>
      <w:pPr>
        <w:spacing w:before="0"/>
        <w:jc w:val="left"/>
      </w:pPr>
      <w:r>
        <w:rPr>
          <w:b w:val="0"/>
          <w:i w:val="0"/>
          <w:color w:val="3D3D3D"/>
          <w:sz w:val="22"/>
        </w:rPr>
        <w:t>Base de datos SQLite generada sintéticamente con semilla fija (SEED=42), lo que garantiza reproducibilidad total: cualquier persona que ejecute generar_datos.py obtiene exactamente los mismos registros.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1F4E79"/>
          </w:tcPr>
          <w:p>
            <w:r>
              <w:rPr>
                <w:b/>
                <w:color w:val="FFFFFF"/>
              </w:rPr>
              <w:t>Tabla</w:t>
            </w:r>
          </w:p>
        </w:tc>
        <w:tc>
          <w:tcPr>
            <w:tcW w:type="dxa" w:w="3022"/>
            <w:shd w:val="clear" w:color="auto" w:fill="1F4E79"/>
          </w:tcPr>
          <w:p>
            <w:r>
              <w:rPr>
                <w:b/>
                <w:color w:val="FFFFFF"/>
              </w:rPr>
              <w:t>Registros</w:t>
            </w:r>
          </w:p>
        </w:tc>
        <w:tc>
          <w:tcPr>
            <w:tcW w:type="dxa" w:w="3022"/>
            <w:shd w:val="clear" w:color="auto" w:fill="1F4E79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3022"/>
            <w:shd w:val="clear" w:color="auto" w:fill="F2F2F2"/>
          </w:tcPr>
          <w:p>
            <w:r>
              <w:t>ventas (hechos)</w:t>
            </w:r>
          </w:p>
        </w:tc>
        <w:tc>
          <w:tcPr>
            <w:tcW w:type="dxa" w:w="3022"/>
            <w:shd w:val="clear" w:color="auto" w:fill="F2F2F2"/>
          </w:tcPr>
          <w:p>
            <w:r>
              <w:t>15.700 líneas</w:t>
            </w:r>
          </w:p>
        </w:tc>
        <w:tc>
          <w:tcPr>
            <w:tcW w:type="dxa" w:w="3022"/>
            <w:shd w:val="clear" w:color="auto" w:fill="F2F2F2"/>
          </w:tcPr>
          <w:p>
            <w:r>
              <w:t>fecha · cantidad · precio · descuento · costo · ingreso · margen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t>clientes</w:t>
            </w:r>
          </w:p>
        </w:tc>
        <w:tc>
          <w:tcPr>
            <w:tcW w:type="dxa" w:w="3022"/>
            <w:shd w:val="clear" w:color="auto" w:fill="FFFFFF"/>
          </w:tcPr>
          <w:p>
            <w:r>
              <w:t>800 clientes</w:t>
            </w:r>
          </w:p>
        </w:tc>
        <w:tc>
          <w:tcPr>
            <w:tcW w:type="dxa" w:w="3022"/>
            <w:shd w:val="clear" w:color="auto" w:fill="FFFFFF"/>
          </w:tcPr>
          <w:p>
            <w:r>
              <w:t>segmento · ciudad · región · fecha_alta</w:t>
            </w:r>
          </w:p>
        </w:tc>
      </w:tr>
      <w:tr>
        <w:tc>
          <w:tcPr>
            <w:tcW w:type="dxa" w:w="3022"/>
            <w:shd w:val="clear" w:color="auto" w:fill="F2F2F2"/>
          </w:tcPr>
          <w:p>
            <w:r>
              <w:t>productos</w:t>
            </w:r>
          </w:p>
        </w:tc>
        <w:tc>
          <w:tcPr>
            <w:tcW w:type="dxa" w:w="3022"/>
            <w:shd w:val="clear" w:color="auto" w:fill="F2F2F2"/>
          </w:tcPr>
          <w:p>
            <w:r>
              <w:t>37 productos</w:t>
            </w:r>
          </w:p>
        </w:tc>
        <w:tc>
          <w:tcPr>
            <w:tcW w:type="dxa" w:w="3022"/>
            <w:shd w:val="clear" w:color="auto" w:fill="F2F2F2"/>
          </w:tcPr>
          <w:p>
            <w:r>
              <w:t>categoría · costo_unitario · precio_lista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t>sucursales</w:t>
            </w:r>
          </w:p>
        </w:tc>
        <w:tc>
          <w:tcPr>
            <w:tcW w:type="dxa" w:w="3022"/>
            <w:shd w:val="clear" w:color="auto" w:fill="FFFFFF"/>
          </w:tcPr>
          <w:p>
            <w:r>
              <w:t>5 sucursales</w:t>
            </w:r>
          </w:p>
        </w:tc>
        <w:tc>
          <w:tcPr>
            <w:tcW w:type="dxa" w:w="3022"/>
            <w:shd w:val="clear" w:color="auto" w:fill="FFFFFF"/>
          </w:tcPr>
          <w:p>
            <w:r>
              <w:t>nombre · ciudad · región</w:t>
            </w:r>
          </w:p>
        </w:tc>
      </w:tr>
    </w:tbl>
    <w:p/>
    <w:p>
      <w:pPr>
        <w:spacing w:before="80"/>
        <w:jc w:val="left"/>
      </w:pPr>
      <w:r>
        <w:rPr>
          <w:b/>
          <w:i w:val="0"/>
          <w:color w:val="1F4E79"/>
          <w:sz w:val="22"/>
        </w:rPr>
        <w:t>Herramientas y técnicas</w:t>
      </w:r>
    </w:p>
    <w:p>
      <w:pPr>
        <w:spacing w:before="0"/>
        <w:jc w:val="left"/>
      </w:pPr>
      <w:r>
        <w:rPr>
          <w:b w:val="0"/>
          <w:i w:val="0"/>
          <w:color w:val="3D3D3D"/>
          <w:sz w:val="21"/>
        </w:rPr>
        <w:t>• SQL (SQLite): 5 consultas con CTEs encadenadas (WITH), JOINs y métricas derivadas</w:t>
      </w:r>
    </w:p>
    <w:p>
      <w:pPr>
        <w:spacing w:before="0"/>
        <w:jc w:val="left"/>
      </w:pPr>
      <w:r>
        <w:rPr>
          <w:b w:val="0"/>
          <w:i w:val="0"/>
          <w:color w:val="3D3D3D"/>
          <w:sz w:val="21"/>
        </w:rPr>
        <w:t>• Esquema estrella: tabla de hechos central + 3 dimensiones relacionadas</w:t>
      </w:r>
    </w:p>
    <w:p>
      <w:pPr>
        <w:spacing w:before="0"/>
        <w:jc w:val="left"/>
      </w:pPr>
      <w:r>
        <w:rPr>
          <w:b w:val="0"/>
          <w:i w:val="0"/>
          <w:color w:val="3D3D3D"/>
          <w:sz w:val="21"/>
        </w:rPr>
        <w:t>• Validación previa: consulta de perfilado (00_perfilado.sql) para verificar integridad</w:t>
      </w:r>
    </w:p>
    <w:p>
      <w:pPr>
        <w:spacing w:before="0"/>
        <w:jc w:val="left"/>
      </w:pPr>
      <w:r>
        <w:rPr>
          <w:b w:val="0"/>
          <w:i w:val="0"/>
          <w:color w:val="3D3D3D"/>
          <w:sz w:val="21"/>
        </w:rPr>
        <w:t>• Período: 24 meses (enero 2024 – diciembre 2025)</w:t>
      </w:r>
    </w:p>
    <w:p>
      <w:r>
        <w:br w:type="page"/>
      </w:r>
    </w:p>
    <w:p>
      <w:pPr>
        <w:pStyle w:val="Heading1"/>
      </w:pPr>
      <w:r>
        <w:rPr>
          <w:b/>
          <w:color w:val="1F4E79"/>
          <w:sz w:val="28"/>
        </w:rPr>
        <w:t>3. Hallazgos y Evidencia</w:t>
      </w:r>
    </w:p>
    <w:p>
      <w:pPr>
        <w:pBdr>
          <w:bottom w:val="single" w:sz="6" w:space="1" w:color="2E75B6"/>
        </w:pBdr>
      </w:pPr>
    </w:p>
    <w:p>
      <w:pPr>
        <w:spacing w:before="160" w:after="40"/>
        <w:shd w:val="clear" w:color="auto" w:fill="BDD7EE"/>
      </w:pPr>
      <w:r>
        <w:rPr>
          <w:b/>
          <w:color w:val="1F4E79"/>
          <w:sz w:val="22"/>
        </w:rPr>
        <w:t xml:space="preserve">  ► Hallazgo 1 — </w:t>
      </w:r>
      <w:r>
        <w:rPr>
          <w:b/>
          <w:color w:val="1F4E79"/>
          <w:sz w:val="22"/>
        </w:rPr>
        <w:t>Productos vendidos a pérdida por descuentos agresivos</w:t>
      </w:r>
    </w:p>
    <w:p>
      <w:pPr>
        <w:spacing w:before="40" w:after="40"/>
        <w:ind w:left="283"/>
      </w:pPr>
      <w:r>
        <w:rPr>
          <w:b/>
          <w:color w:val="3D3D3D"/>
          <w:sz w:val="20"/>
        </w:rPr>
        <w:t xml:space="preserve">Qué encontré: </w:t>
      </w:r>
      <w:r>
        <w:rPr>
          <w:color w:val="3D3D3D"/>
          <w:sz w:val="20"/>
        </w:rPr>
        <w:t>4 productos acumulan margen negativo durante los 24 meses analizados. El descuento promedio aplicado sobre estos productos fue del 17,6 %, suficiente para invertir el margen y convertir cada venta en una pérdida.</w:t>
      </w:r>
    </w:p>
    <w:p>
      <w:pPr>
        <w:spacing w:before="40" w:after="40"/>
        <w:ind w:left="283"/>
      </w:pPr>
      <w:r>
        <w:rPr>
          <w:b/>
          <w:color w:val="3D3D3D"/>
          <w:sz w:val="20"/>
        </w:rPr>
        <w:t xml:space="preserve">Acción recomendada: </w:t>
      </w:r>
      <w:r>
        <w:rPr>
          <w:color w:val="3D3D3D"/>
          <w:sz w:val="20"/>
        </w:rPr>
        <w:t>Quitar el descuento o repreciar estos 4 productos hasta margen ≥ 0 %.</w:t>
      </w:r>
    </w:p>
    <w:p>
      <w:pPr>
        <w:spacing w:before="40" w:after="40"/>
        <w:ind w:left="283"/>
      </w:pPr>
      <w:r>
        <w:rPr>
          <w:b/>
          <w:color w:val="3D3D3D"/>
          <w:sz w:val="20"/>
        </w:rPr>
        <w:t xml:space="preserve">Impacto estimado: </w:t>
      </w:r>
      <w:r>
        <w:rPr>
          <w:color w:val="70AD47"/>
          <w:sz w:val="20"/>
        </w:rPr>
        <w:t>~$0,91 M/año recuperables al eliminar el margen negativo.</w:t>
      </w:r>
    </w:p>
    <w:p>
      <w:pPr>
        <w:spacing w:before="40" w:after="40"/>
        <w:ind w:left="283"/>
      </w:pPr>
      <w:r>
        <w:rPr>
          <w:b/>
          <w:color w:val="3D3D3D"/>
          <w:sz w:val="20"/>
        </w:rPr>
        <w:t xml:space="preserve">Supuesto clave: </w:t>
      </w:r>
      <w:r>
        <w:rPr>
          <w:color w:val="3D3D3D"/>
          <w:sz w:val="20"/>
        </w:rPr>
        <w:t>Margen negativo acumulado $1,82 M / 24 meses. Se supone mantenimiento de volumen; aun si baja algo al subir el precio, el resultado sigue siendo mejor que vender a pérdida.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2E75B6"/>
          </w:tcPr>
          <w:p>
            <w:r>
              <w:rPr>
                <w:b/>
                <w:color w:val="FFFFFF"/>
              </w:rPr>
              <w:t>Producto</w:t>
            </w:r>
          </w:p>
        </w:tc>
        <w:tc>
          <w:tcPr>
            <w:tcW w:type="dxa" w:w="2266"/>
            <w:shd w:val="clear" w:color="auto" w:fill="2E75B6"/>
          </w:tcPr>
          <w:p>
            <w:r>
              <w:rPr>
                <w:b/>
                <w:color w:val="FFFFFF"/>
              </w:rPr>
              <w:t>Categoría</w:t>
            </w:r>
          </w:p>
        </w:tc>
        <w:tc>
          <w:tcPr>
            <w:tcW w:type="dxa" w:w="2266"/>
            <w:shd w:val="clear" w:color="auto" w:fill="2E75B6"/>
          </w:tcPr>
          <w:p>
            <w:r>
              <w:rPr>
                <w:b/>
                <w:color w:val="FFFFFF"/>
              </w:rPr>
              <w:t>Facturación</w:t>
            </w:r>
          </w:p>
        </w:tc>
        <w:tc>
          <w:tcPr>
            <w:tcW w:type="dxa" w:w="2266"/>
            <w:shd w:val="clear" w:color="auto" w:fill="2E75B6"/>
          </w:tcPr>
          <w:p>
            <w:r>
              <w:rPr>
                <w:b/>
                <w:color w:val="FFFFFF"/>
              </w:rPr>
              <w:t>Margen total</w:t>
            </w:r>
          </w:p>
        </w:tc>
      </w:tr>
      <w:tr>
        <w:tc>
          <w:tcPr>
            <w:tcW w:type="dxa" w:w="2266"/>
            <w:shd w:val="clear" w:color="auto" w:fill="F2F2F2"/>
          </w:tcPr>
          <w:p>
            <w:r>
              <w:t>P020</w:t>
            </w:r>
          </w:p>
        </w:tc>
        <w:tc>
          <w:tcPr>
            <w:tcW w:type="dxa" w:w="2266"/>
            <w:shd w:val="clear" w:color="auto" w:fill="F2F2F2"/>
          </w:tcPr>
          <w:p>
            <w:r>
              <w:t>Perfumería</w:t>
            </w:r>
          </w:p>
        </w:tc>
        <w:tc>
          <w:tcPr>
            <w:tcW w:type="dxa" w:w="2266"/>
            <w:shd w:val="clear" w:color="auto" w:fill="F2F2F2"/>
          </w:tcPr>
          <w:p>
            <w:r>
              <w:t>$5.815.932</w:t>
            </w:r>
          </w:p>
        </w:tc>
        <w:tc>
          <w:tcPr>
            <w:tcW w:type="dxa" w:w="2266"/>
            <w:shd w:val="clear" w:color="auto" w:fill="FFCCCC"/>
          </w:tcPr>
          <w:p>
            <w:r>
              <w:rPr>
                <w:b/>
              </w:rPr>
              <w:t>-$730.785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r>
              <w:t>P017</w:t>
            </w:r>
          </w:p>
        </w:tc>
        <w:tc>
          <w:tcPr>
            <w:tcW w:type="dxa" w:w="2266"/>
            <w:shd w:val="clear" w:color="auto" w:fill="FFFFFF"/>
          </w:tcPr>
          <w:p>
            <w:r>
              <w:t>Limpieza</w:t>
            </w:r>
          </w:p>
        </w:tc>
        <w:tc>
          <w:tcPr>
            <w:tcW w:type="dxa" w:w="2266"/>
            <w:shd w:val="clear" w:color="auto" w:fill="FFFFFF"/>
          </w:tcPr>
          <w:p>
            <w:r>
              <w:t>$4.046.601</w:t>
            </w:r>
          </w:p>
        </w:tc>
        <w:tc>
          <w:tcPr>
            <w:tcW w:type="dxa" w:w="2266"/>
            <w:shd w:val="clear" w:color="auto" w:fill="FFCCCC"/>
          </w:tcPr>
          <w:p>
            <w:r>
              <w:rPr>
                <w:b/>
              </w:rPr>
              <w:t>-$491.179</w:t>
            </w:r>
          </w:p>
        </w:tc>
      </w:tr>
      <w:tr>
        <w:tc>
          <w:tcPr>
            <w:tcW w:type="dxa" w:w="2266"/>
            <w:shd w:val="clear" w:color="auto" w:fill="F2F2F2"/>
          </w:tcPr>
          <w:p>
            <w:r>
              <w:t>P005</w:t>
            </w:r>
          </w:p>
        </w:tc>
        <w:tc>
          <w:tcPr>
            <w:tcW w:type="dxa" w:w="2266"/>
            <w:shd w:val="clear" w:color="auto" w:fill="F2F2F2"/>
          </w:tcPr>
          <w:p>
            <w:r>
              <w:t>Bebidas</w:t>
            </w:r>
          </w:p>
        </w:tc>
        <w:tc>
          <w:tcPr>
            <w:tcW w:type="dxa" w:w="2266"/>
            <w:shd w:val="clear" w:color="auto" w:fill="F2F2F2"/>
          </w:tcPr>
          <w:p>
            <w:r>
              <w:t>$2.728.636</w:t>
            </w:r>
          </w:p>
        </w:tc>
        <w:tc>
          <w:tcPr>
            <w:tcW w:type="dxa" w:w="2266"/>
            <w:shd w:val="clear" w:color="auto" w:fill="FFCCCC"/>
          </w:tcPr>
          <w:p>
            <w:r>
              <w:rPr>
                <w:b/>
              </w:rPr>
              <w:t>-$365.970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r>
              <w:t>P009</w:t>
            </w:r>
          </w:p>
        </w:tc>
        <w:tc>
          <w:tcPr>
            <w:tcW w:type="dxa" w:w="2266"/>
            <w:shd w:val="clear" w:color="auto" w:fill="FFFFFF"/>
          </w:tcPr>
          <w:p>
            <w:r>
              <w:t>Almacén</w:t>
            </w:r>
          </w:p>
        </w:tc>
        <w:tc>
          <w:tcPr>
            <w:tcW w:type="dxa" w:w="2266"/>
            <w:shd w:val="clear" w:color="auto" w:fill="FFFFFF"/>
          </w:tcPr>
          <w:p>
            <w:r>
              <w:t>$1.829.663</w:t>
            </w:r>
          </w:p>
        </w:tc>
        <w:tc>
          <w:tcPr>
            <w:tcW w:type="dxa" w:w="2266"/>
            <w:shd w:val="clear" w:color="auto" w:fill="FFCCCC"/>
          </w:tcPr>
          <w:p>
            <w:r>
              <w:rPr>
                <w:b/>
              </w:rPr>
              <w:t>-$235.225</w:t>
            </w:r>
          </w:p>
        </w:tc>
      </w:tr>
    </w:tbl>
    <w:p>
      <w:pPr>
        <w:ind w:left="283"/>
      </w:pPr>
      <w:r>
        <w:rPr>
          <w:i/>
          <w:color w:val="595959"/>
          <w:sz w:val="18"/>
        </w:rPr>
        <w:t>Fuente: consulta 01_margen_negativo.sql sobre ventas 2024–2025.</w:t>
      </w:r>
    </w:p>
    <w:p>
      <w:pPr>
        <w:spacing w:before="160" w:after="40"/>
        <w:shd w:val="clear" w:color="auto" w:fill="BDD7EE"/>
      </w:pPr>
      <w:r>
        <w:rPr>
          <w:b/>
          <w:color w:val="1F4E79"/>
          <w:sz w:val="22"/>
        </w:rPr>
        <w:t xml:space="preserve">  ► Hallazgo 2 — </w:t>
      </w:r>
      <w:r>
        <w:rPr>
          <w:b/>
          <w:color w:val="1F4E79"/>
          <w:sz w:val="22"/>
        </w:rPr>
        <w:t>Productos de baja rotación inmovilizan capital</w:t>
      </w:r>
    </w:p>
    <w:p>
      <w:pPr>
        <w:spacing w:before="40" w:after="40"/>
        <w:ind w:left="283"/>
      </w:pPr>
      <w:r>
        <w:rPr>
          <w:b/>
          <w:color w:val="3D3D3D"/>
          <w:sz w:val="20"/>
        </w:rPr>
        <w:t xml:space="preserve">Qué encontré: </w:t>
      </w:r>
      <w:r>
        <w:rPr>
          <w:color w:val="3D3D3D"/>
          <w:sz w:val="20"/>
        </w:rPr>
        <w:t>5 productos (P036, P029, P023, P021, P003) registraron ≤ 1–5 unidades/mes en los últimos 6 meses del período analizado. Ocupan espacio en góndola y amarran capital que podría rotar en productos de mayor demanda.</w:t>
      </w:r>
    </w:p>
    <w:p>
      <w:pPr>
        <w:spacing w:before="40" w:after="40"/>
        <w:ind w:left="283"/>
      </w:pPr>
      <w:r>
        <w:rPr>
          <w:b/>
          <w:color w:val="3D3D3D"/>
          <w:sz w:val="20"/>
        </w:rPr>
        <w:t xml:space="preserve">Acción recomendada: </w:t>
      </w:r>
      <w:r>
        <w:rPr>
          <w:color w:val="3D3D3D"/>
          <w:sz w:val="20"/>
        </w:rPr>
        <w:t>Liquidar o descontinuar los 5 SKUs de baja rotación. Redirigir el espacio y el capital a los productos de mayor rotación.</w:t>
      </w:r>
    </w:p>
    <w:p>
      <w:pPr>
        <w:spacing w:before="40" w:after="40"/>
        <w:ind w:left="283"/>
      </w:pPr>
      <w:r>
        <w:rPr>
          <w:b/>
          <w:color w:val="3D3D3D"/>
          <w:sz w:val="20"/>
        </w:rPr>
        <w:t xml:space="preserve">Impacto estimado: </w:t>
      </w:r>
      <w:r>
        <w:rPr>
          <w:color w:val="70AD47"/>
          <w:sz w:val="20"/>
        </w:rPr>
        <w:t>~$79.000 de capital liberado (puntual) + ~$6.300/año de costo de oportunidad recuperado.</w:t>
      </w:r>
    </w:p>
    <w:p>
      <w:pPr>
        <w:spacing w:before="40" w:after="40"/>
        <w:ind w:left="283"/>
      </w:pPr>
      <w:r>
        <w:rPr>
          <w:b/>
          <w:color w:val="3D3D3D"/>
          <w:sz w:val="20"/>
        </w:rPr>
        <w:t xml:space="preserve">Supuesto clave: </w:t>
      </w:r>
      <w:r>
        <w:rPr>
          <w:color w:val="3D3D3D"/>
          <w:sz w:val="20"/>
        </w:rPr>
        <w:t>Capital estimado asumiendo 3 meses de cobertura al ritmo actual de ventas. Costo de oportunidad calculado a tasa del 8 % anual sobre el capital inmovilizado.</w:t>
      </w:r>
    </w:p>
    <w:p>
      <w:pPr>
        <w:spacing w:before="160" w:after="40"/>
        <w:shd w:val="clear" w:color="auto" w:fill="BDD7EE"/>
      </w:pPr>
      <w:r>
        <w:rPr>
          <w:b/>
          <w:color w:val="1F4E79"/>
          <w:sz w:val="22"/>
        </w:rPr>
        <w:t xml:space="preserve">  ► Hallazgo 3 — </w:t>
      </w:r>
      <w:r>
        <w:rPr>
          <w:b/>
          <w:color w:val="1F4E79"/>
          <w:sz w:val="22"/>
        </w:rPr>
        <w:t>156 clientes (21,7 %) no regresaron en 2025</w:t>
      </w:r>
    </w:p>
    <w:p>
      <w:pPr>
        <w:spacing w:before="40" w:after="40"/>
        <w:ind w:left="283"/>
      </w:pPr>
      <w:r>
        <w:rPr>
          <w:b/>
          <w:color w:val="3D3D3D"/>
          <w:sz w:val="20"/>
        </w:rPr>
        <w:t xml:space="preserve">Qué encontré: </w:t>
      </w:r>
      <w:r>
        <w:rPr>
          <w:color w:val="3D3D3D"/>
          <w:sz w:val="20"/>
        </w:rPr>
        <w:t>De los 718 clientes activos en 2024, 156 (el 21,7 % de la base) no realizaron ninguna compra en 2025. Este grupo generó $2,45 M de margen en 2024, un valor que hoy está completamente perdido para la empresa.</w:t>
      </w:r>
    </w:p>
    <w:p>
      <w:pPr>
        <w:spacing w:before="40" w:after="40"/>
        <w:ind w:left="283"/>
      </w:pPr>
      <w:r>
        <w:rPr>
          <w:b/>
          <w:color w:val="3D3D3D"/>
          <w:sz w:val="20"/>
        </w:rPr>
        <w:t xml:space="preserve">Acción recomendada: </w:t>
      </w:r>
      <w:r>
        <w:rPr>
          <w:color w:val="3D3D3D"/>
          <w:sz w:val="20"/>
        </w:rPr>
        <w:t>Lanzar una campaña de recuperación priorizada (cupón dirigido, contacto comercial) sobre el listado de 156 clientes identificados, ordenados por margen aportado en 2024.</w:t>
      </w:r>
    </w:p>
    <w:p>
      <w:pPr>
        <w:spacing w:before="40" w:after="40"/>
        <w:ind w:left="283"/>
      </w:pPr>
      <w:r>
        <w:rPr>
          <w:b/>
          <w:color w:val="3D3D3D"/>
          <w:sz w:val="20"/>
        </w:rPr>
        <w:t xml:space="preserve">Impacto estimado: </w:t>
      </w:r>
      <w:r>
        <w:rPr>
          <w:color w:val="70AD47"/>
          <w:sz w:val="20"/>
        </w:rPr>
        <w:t>~$0,74 M/año al recuperar el 30 % del grupo perdido.</w:t>
      </w:r>
    </w:p>
    <w:p>
      <w:pPr>
        <w:spacing w:before="40" w:after="40"/>
        <w:ind w:left="283"/>
      </w:pPr>
      <w:r>
        <w:rPr>
          <w:b/>
          <w:color w:val="3D3D3D"/>
          <w:sz w:val="20"/>
        </w:rPr>
        <w:t xml:space="preserve">Supuesto clave: </w:t>
      </w:r>
      <w:r>
        <w:rPr>
          <w:color w:val="3D3D3D"/>
          <w:sz w:val="20"/>
        </w:rPr>
        <w:t>Recuperación conservadora del 30 % de los 156 clientes. Ticket y frecuencia de compra similar a 2024.</w:t>
      </w:r>
    </w:p>
    <w:p>
      <w:r>
        <w:br w:type="page"/>
      </w:r>
    </w:p>
    <w:p>
      <w:pPr>
        <w:spacing w:before="160" w:after="40"/>
        <w:shd w:val="clear" w:color="auto" w:fill="BDD7EE"/>
      </w:pPr>
      <w:r>
        <w:rPr>
          <w:b/>
          <w:color w:val="1F4E79"/>
          <w:sz w:val="22"/>
        </w:rPr>
        <w:t xml:space="preserve">  ► Hallazgo 4 — </w:t>
      </w:r>
      <w:r>
        <w:rPr>
          <w:b/>
          <w:color w:val="1F4E79"/>
          <w:sz w:val="22"/>
        </w:rPr>
        <w:t>Sucursal Sur tiene el ticket 16 % por debajo de la red</w:t>
      </w:r>
    </w:p>
    <w:p>
      <w:pPr>
        <w:spacing w:before="40" w:after="40"/>
        <w:ind w:left="283"/>
      </w:pPr>
      <w:r>
        <w:rPr>
          <w:b/>
          <w:color w:val="3D3D3D"/>
          <w:sz w:val="20"/>
        </w:rPr>
        <w:t xml:space="preserve">Qué encontré: </w:t>
      </w:r>
      <w:r>
        <w:rPr>
          <w:color w:val="3D3D3D"/>
          <w:sz w:val="20"/>
        </w:rPr>
        <w:t>La sucursal Sur (Bariloche) tiene un ticket promedio de $9.499, vs. una mediana de red de $11.267. La brecha es del 16 % y se mantiene constante en los 24 meses analizados, con un volumen de tickets sano (3.128), lo que descarta que sea un problema de tráfico.</w:t>
      </w:r>
    </w:p>
    <w:p>
      <w:pPr>
        <w:spacing w:before="40" w:after="40"/>
        <w:ind w:left="283"/>
      </w:pPr>
      <w:r>
        <w:rPr>
          <w:b/>
          <w:color w:val="3D3D3D"/>
          <w:sz w:val="20"/>
        </w:rPr>
        <w:t xml:space="preserve">Acción recomendada: </w:t>
      </w:r>
      <w:r>
        <w:rPr>
          <w:color w:val="3D3D3D"/>
          <w:sz w:val="20"/>
        </w:rPr>
        <w:t>Replicar en la sucursal Sur las prácticas comerciales de las sucursales líderes: estrategias de cross-sell, surtido ampliado en categorías de mayor valor y acciones para aumentar el tamaño promedio de compra.</w:t>
      </w:r>
    </w:p>
    <w:p>
      <w:pPr>
        <w:spacing w:before="40" w:after="40"/>
        <w:ind w:left="283"/>
      </w:pPr>
      <w:r>
        <w:rPr>
          <w:b/>
          <w:color w:val="3D3D3D"/>
          <w:sz w:val="20"/>
        </w:rPr>
        <w:t xml:space="preserve">Impacto estimado: </w:t>
      </w:r>
      <w:r>
        <w:rPr>
          <w:color w:val="70AD47"/>
          <w:sz w:val="20"/>
        </w:rPr>
        <w:t>~$0,39 M/año al cerrar el 50 % de la brecha de ticket (cierre total: ~$0,78 M/año).</w:t>
      </w:r>
    </w:p>
    <w:p>
      <w:pPr>
        <w:spacing w:before="40" w:after="40"/>
        <w:ind w:left="283"/>
      </w:pPr>
      <w:r>
        <w:rPr>
          <w:b/>
          <w:color w:val="3D3D3D"/>
          <w:sz w:val="20"/>
        </w:rPr>
        <w:t xml:space="preserve">Supuesto clave: </w:t>
      </w:r>
      <w:r>
        <w:rPr>
          <w:color w:val="3D3D3D"/>
          <w:sz w:val="20"/>
        </w:rPr>
        <w:t>Cierre del 50 % de la brecha ($887 × 3.128 tickets × 28,2 % de margen). El volumen de tickets se mantiene constante.</w:t>
      </w:r>
    </w:p>
    <w:p>
      <w:r>
        <w:drawing>
          <wp:inline xmlns:a="http://schemas.openxmlformats.org/drawingml/2006/main" xmlns:pic="http://schemas.openxmlformats.org/drawingml/2006/picture">
            <wp:extent cx="5303520" cy="23212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1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 — Ticket promedio por sucursal. La sucursal Sur registra el menor ticket de la red pese a un volumen de operaciones saludable. Fuente: 04_brecha_sucursales.sql.</w:t>
      </w:r>
    </w:p>
    <w:p>
      <w:r>
        <w:br w:type="page"/>
      </w:r>
    </w:p>
    <w:p>
      <w:pPr>
        <w:pStyle w:val="Heading1"/>
      </w:pPr>
      <w:r>
        <w:rPr>
          <w:b/>
          <w:color w:val="1F4E79"/>
          <w:sz w:val="28"/>
        </w:rPr>
        <w:t>4. Conclusiones y Próximos Pasos</w:t>
      </w:r>
    </w:p>
    <w:p>
      <w:pPr>
        <w:pBdr>
          <w:bottom w:val="single" w:sz="6" w:space="1" w:color="2E75B6"/>
        </w:pBdr>
      </w:pPr>
    </w:p>
    <w:p>
      <w:pPr>
        <w:spacing w:before="80"/>
        <w:jc w:val="left"/>
      </w:pPr>
      <w:r>
        <w:rPr>
          <w:b w:val="0"/>
          <w:i w:val="0"/>
          <w:color w:val="3D3D3D"/>
          <w:sz w:val="22"/>
        </w:rPr>
        <w:t>El análisis reveló que el 8 % del margen anual de TiendaNova está siendo drenado por cuatro fuentes de pérdida identificables y corregibles con acciones comerciales de bajo a medio esfuerzo. Ninguna requiere nuevos clientes ni inversión en publicidad.</w:t>
      </w:r>
    </w:p>
    <w:p>
      <w:pPr>
        <w:spacing w:before="160"/>
        <w:jc w:val="left"/>
      </w:pPr>
      <w:r>
        <w:rPr>
          <w:b/>
          <w:i w:val="0"/>
          <w:color w:val="1F4E79"/>
          <w:sz w:val="22"/>
        </w:rPr>
        <w:t>Tabla resumen de impacto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1F4E79"/>
          </w:tcPr>
          <w:p>
            <w:r>
              <w:rPr>
                <w:b/>
                <w:color w:val="FFFFFF"/>
              </w:rPr>
              <w:t>Hallazgo</w:t>
            </w:r>
          </w:p>
        </w:tc>
        <w:tc>
          <w:tcPr>
            <w:tcW w:type="dxa" w:w="2266"/>
            <w:shd w:val="clear" w:color="auto" w:fill="1F4E79"/>
          </w:tcPr>
          <w:p>
            <w:r>
              <w:rPr>
                <w:b/>
                <w:color w:val="FFFFFF"/>
              </w:rPr>
              <w:t>Acción</w:t>
            </w:r>
          </w:p>
        </w:tc>
        <w:tc>
          <w:tcPr>
            <w:tcW w:type="dxa" w:w="2266"/>
            <w:shd w:val="clear" w:color="auto" w:fill="1F4E79"/>
          </w:tcPr>
          <w:p>
            <w:r>
              <w:rPr>
                <w:b/>
                <w:color w:val="FFFFFF"/>
              </w:rPr>
              <w:t>Impacto $/año</w:t>
            </w:r>
          </w:p>
        </w:tc>
        <w:tc>
          <w:tcPr>
            <w:tcW w:type="dxa" w:w="2266"/>
            <w:shd w:val="clear" w:color="auto" w:fill="1F4E79"/>
          </w:tcPr>
          <w:p>
            <w:r>
              <w:rPr>
                <w:b/>
                <w:color w:val="FFFFFF"/>
              </w:rPr>
              <w:t>Esfuerzo</w:t>
            </w:r>
          </w:p>
        </w:tc>
      </w:tr>
      <w:tr>
        <w:tc>
          <w:tcPr>
            <w:tcW w:type="dxa" w:w="2266"/>
            <w:shd w:val="clear" w:color="auto" w:fill="F2F2F2"/>
          </w:tcPr>
          <w:p>
            <w:r>
              <w:t>Productos bajo margen</w:t>
            </w:r>
          </w:p>
        </w:tc>
        <w:tc>
          <w:tcPr>
            <w:tcW w:type="dxa" w:w="2266"/>
            <w:shd w:val="clear" w:color="auto" w:fill="F2F2F2"/>
          </w:tcPr>
          <w:p>
            <w:r>
              <w:t>Repreciar 4 productos</w:t>
            </w:r>
          </w:p>
        </w:tc>
        <w:tc>
          <w:tcPr>
            <w:tcW w:type="dxa" w:w="2266"/>
            <w:shd w:val="clear" w:color="auto" w:fill="F2F2F2"/>
          </w:tcPr>
          <w:p>
            <w:r>
              <w:t>$0,91 M</w:t>
            </w:r>
          </w:p>
        </w:tc>
        <w:tc>
          <w:tcPr>
            <w:tcW w:type="dxa" w:w="2266"/>
            <w:shd w:val="clear" w:color="auto" w:fill="F2F2F2"/>
          </w:tcPr>
          <w:p>
            <w:r>
              <w:t>Bajo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r>
              <w:t>Fuga de clientes</w:t>
            </w:r>
          </w:p>
        </w:tc>
        <w:tc>
          <w:tcPr>
            <w:tcW w:type="dxa" w:w="2266"/>
            <w:shd w:val="clear" w:color="auto" w:fill="FFFFFF"/>
          </w:tcPr>
          <w:p>
            <w:r>
              <w:t>Campaña de recuperación</w:t>
            </w:r>
          </w:p>
        </w:tc>
        <w:tc>
          <w:tcPr>
            <w:tcW w:type="dxa" w:w="2266"/>
            <w:shd w:val="clear" w:color="auto" w:fill="FFFFFF"/>
          </w:tcPr>
          <w:p>
            <w:r>
              <w:t>$0,74 M</w:t>
            </w:r>
          </w:p>
        </w:tc>
        <w:tc>
          <w:tcPr>
            <w:tcW w:type="dxa" w:w="2266"/>
            <w:shd w:val="clear" w:color="auto" w:fill="FFFFFF"/>
          </w:tcPr>
          <w:p>
            <w:r>
              <w:t>Medio</w:t>
            </w:r>
          </w:p>
        </w:tc>
      </w:tr>
      <w:tr>
        <w:tc>
          <w:tcPr>
            <w:tcW w:type="dxa" w:w="2266"/>
            <w:shd w:val="clear" w:color="auto" w:fill="F2F2F2"/>
          </w:tcPr>
          <w:p>
            <w:r>
              <w:t>Brecha sucursal Sur</w:t>
            </w:r>
          </w:p>
        </w:tc>
        <w:tc>
          <w:tcPr>
            <w:tcW w:type="dxa" w:w="2266"/>
            <w:shd w:val="clear" w:color="auto" w:fill="F2F2F2"/>
          </w:tcPr>
          <w:p>
            <w:r>
              <w:t>Replicar mejores prácticas</w:t>
            </w:r>
          </w:p>
        </w:tc>
        <w:tc>
          <w:tcPr>
            <w:tcW w:type="dxa" w:w="2266"/>
            <w:shd w:val="clear" w:color="auto" w:fill="F2F2F2"/>
          </w:tcPr>
          <w:p>
            <w:r>
              <w:t>$0,39 M</w:t>
            </w:r>
          </w:p>
        </w:tc>
        <w:tc>
          <w:tcPr>
            <w:tcW w:type="dxa" w:w="2266"/>
            <w:shd w:val="clear" w:color="auto" w:fill="F2F2F2"/>
          </w:tcPr>
          <w:p>
            <w:r>
              <w:t>Medio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r>
              <w:t>Capital inmovilizado</w:t>
            </w:r>
          </w:p>
        </w:tc>
        <w:tc>
          <w:tcPr>
            <w:tcW w:type="dxa" w:w="2266"/>
            <w:shd w:val="clear" w:color="auto" w:fill="FFFFFF"/>
          </w:tcPr>
          <w:p>
            <w:r>
              <w:t>Liquidar 5 SKUs de baja rotación</w:t>
            </w:r>
          </w:p>
        </w:tc>
        <w:tc>
          <w:tcPr>
            <w:tcW w:type="dxa" w:w="2266"/>
            <w:shd w:val="clear" w:color="auto" w:fill="FFFFFF"/>
          </w:tcPr>
          <w:p>
            <w:r>
              <w:t>$0,006 M + $79 k puntual</w:t>
            </w:r>
          </w:p>
        </w:tc>
        <w:tc>
          <w:tcPr>
            <w:tcW w:type="dxa" w:w="2266"/>
            <w:shd w:val="clear" w:color="auto" w:fill="FFFFFF"/>
          </w:tcPr>
          <w:p>
            <w:r>
              <w:t>Bajo</w:t>
            </w:r>
          </w:p>
        </w:tc>
      </w:tr>
      <w:tr>
        <w:tc>
          <w:tcPr>
            <w:tcW w:type="dxa" w:w="2266"/>
            <w:shd w:val="clear" w:color="auto" w:fill="BDD7EE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266"/>
            <w:shd w:val="clear" w:color="auto" w:fill="BDD7EE"/>
          </w:tcPr>
          <w:p>
            <w:r>
              <w:rPr>
                <w:b/>
              </w:rPr>
              <w:t>—</w:t>
            </w:r>
          </w:p>
        </w:tc>
        <w:tc>
          <w:tcPr>
            <w:tcW w:type="dxa" w:w="2266"/>
            <w:shd w:val="clear" w:color="auto" w:fill="BDD7EE"/>
          </w:tcPr>
          <w:p>
            <w:r>
              <w:rPr>
                <w:b/>
              </w:rPr>
              <w:t>~$2,0 M/año + $79 k</w:t>
            </w:r>
          </w:p>
        </w:tc>
        <w:tc>
          <w:tcPr>
            <w:tcW w:type="dxa" w:w="2266"/>
            <w:shd w:val="clear" w:color="auto" w:fill="BDD7EE"/>
          </w:tcPr>
          <w:p>
            <w:r>
              <w:rPr>
                <w:b/>
              </w:rPr>
              <w:t>—</w:t>
            </w:r>
          </w:p>
        </w:tc>
      </w:tr>
    </w:tbl>
    <w:p/>
    <w:p>
      <w:pPr>
        <w:spacing w:before="120" w:after="120"/>
        <w:ind w:left="283"/>
        <w:shd w:val="clear" w:color="auto" w:fill="FFF2CC"/>
      </w:pPr>
      <w:r>
        <w:rPr>
          <w:b/>
          <w:color w:val="1F4E79"/>
          <w:sz w:val="22"/>
        </w:rPr>
        <w:t xml:space="preserve">  Impacto total estimado del análisis: ~$2,0 M/año  +  ~$79.000 de capital liberado</w:t>
        <w:br/>
        <w:t xml:space="preserve">  Sobre un margen anual de ~$24,9 M → 8 % de mejora de margen identificada con 5 consultas SQL.</w:t>
      </w:r>
    </w:p>
    <w:p/>
    <w:p>
      <w:r>
        <w:drawing>
          <wp:inline xmlns:a="http://schemas.openxmlformats.org/drawingml/2006/main" xmlns:pic="http://schemas.openxmlformats.org/drawingml/2006/picture">
            <wp:extent cx="5303520" cy="25945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94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2 — Impacto económico estimado por hallazgo. Los tres primeros hallazgos representan el 99,7 % del valor identificado.</w:t>
      </w:r>
    </w:p>
    <w:p/>
    <w:p>
      <w:pPr>
        <w:spacing w:before="120"/>
        <w:jc w:val="left"/>
      </w:pPr>
      <w:r>
        <w:rPr>
          <w:b/>
          <w:i w:val="0"/>
          <w:color w:val="1F4E79"/>
          <w:sz w:val="22"/>
        </w:rPr>
        <w:t>Próximos pasos recomendados</w:t>
      </w:r>
    </w:p>
    <w:p>
      <w:pPr>
        <w:spacing w:before="0"/>
        <w:jc w:val="left"/>
      </w:pPr>
      <w:r>
        <w:rPr>
          <w:b w:val="0"/>
          <w:i w:val="0"/>
          <w:color w:val="3D3D3D"/>
          <w:sz w:val="21"/>
        </w:rPr>
        <w:t>1. Repreciar los 4 productos con margen negativo (bajo esfuerzo, mayor ROI inmediato — $0,91 M/año).</w:t>
      </w:r>
    </w:p>
    <w:p>
      <w:pPr>
        <w:spacing w:before="0"/>
        <w:jc w:val="left"/>
      </w:pPr>
      <w:r>
        <w:rPr>
          <w:b w:val="0"/>
          <w:i w:val="0"/>
          <w:color w:val="3D3D3D"/>
          <w:sz w:val="21"/>
        </w:rPr>
        <w:t>2. Exportar el listado de 156 clientes fugados al equipo comercial para campaña de recuperación.</w:t>
      </w:r>
    </w:p>
    <w:p>
      <w:pPr>
        <w:spacing w:before="0"/>
        <w:jc w:val="left"/>
      </w:pPr>
      <w:r>
        <w:rPr>
          <w:b w:val="0"/>
          <w:i w:val="0"/>
          <w:color w:val="3D3D3D"/>
          <w:sz w:val="21"/>
        </w:rPr>
        <w:t>3. Convocar reunión con el gerente de la sucursal Sur para revisar el modelo de cross-sell y surtido.</w:t>
      </w:r>
    </w:p>
    <w:p/>
    <w:p>
      <w:pPr>
        <w:pBdr>
          <w:bottom w:val="single" w:sz="6" w:space="1" w:color="2E75B6"/>
        </w:pBdr>
      </w:pPr>
    </w:p>
    <w:p>
      <w:pPr>
        <w:jc w:val="center"/>
      </w:pPr>
      <w:r>
        <w:rPr>
          <w:i/>
          <w:color w:val="595959"/>
          <w:sz w:val="18"/>
        </w:rPr>
        <w:t>Datos sintéticos con distribuciones realistas del sector retail  ·  Portfolio de Datos y Analítica  ·  Luciano Villagrán</w:t>
      </w:r>
    </w:p>
    <w:sectPr w:rsidR="00FC693F" w:rsidRPr="0006063C" w:rsidSect="00034616">
      <w:footerReference w:type="default" r:id="rId9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 xml:space="preserve">Luciano Villagrán — Analista de Datos   |   TiendaNova · Análisis de Rentabilidad Comercial   |   Pág. </w:t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