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Arial" w:hAnsi="Arial" w:eastAsia="Arial"/>
        </w:rPr>
        <w:t>Índice Mestre de Requisitos - Jornada do Cidadão - Fase 1</w:t>
      </w:r>
    </w:p>
    <w:p>
      <w:r>
        <w:rPr>
          <w:rFonts w:ascii="Arial" w:hAnsi="Arial" w:eastAsia="Arial"/>
          <w:b/>
        </w:rPr>
        <w:t>Versão do documento:</w:t>
      </w:r>
      <w:r>
        <w:rPr>
          <w:rFonts w:ascii="Arial" w:hAnsi="Arial" w:eastAsia="Arial"/>
        </w:rPr>
        <w:t xml:space="preserve"> 1.1</w:t>
      </w:r>
    </w:p>
    <w:p>
      <w:r>
        <w:rPr>
          <w:rFonts w:ascii="Arial" w:hAnsi="Arial" w:eastAsia="Arial"/>
          <w:b/>
        </w:rPr>
        <w:t>Data:</w:t>
      </w:r>
      <w:r>
        <w:rPr>
          <w:rFonts w:ascii="Arial" w:hAnsi="Arial" w:eastAsia="Arial"/>
        </w:rPr>
        <w:t xml:space="preserve"> 10/09/2026</w:t>
      </w:r>
    </w:p>
    <w:p>
      <w:r>
        <w:rPr>
          <w:rFonts w:ascii="Arial" w:hAnsi="Arial" w:eastAsia="Arial"/>
          <w:b/>
        </w:rPr>
        <w:t>Base normativa:</w:t>
      </w:r>
      <w:r>
        <w:rPr>
          <w:rFonts w:ascii="Arial" w:hAnsi="Arial" w:eastAsia="Arial"/>
        </w:rPr>
        <w:t xml:space="preserve"> Especificação Técnica Jornada v3.62</w:t>
      </w:r>
    </w:p>
    <w:p>
      <w:r>
        <w:rPr>
          <w:rFonts w:ascii="Arial" w:hAnsi="Arial" w:eastAsia="Arial"/>
          <w:b/>
        </w:rPr>
        <w:t>SolutionSchema:</w:t>
      </w:r>
      <w:r>
        <w:rPr>
          <w:rFonts w:ascii="Arial" w:hAnsi="Arial" w:eastAsia="Arial"/>
        </w:rPr>
        <w:t xml:space="preserve"> SolutionSchema v3.70</w:t>
      </w:r>
    </w:p>
    <w:p>
      <w:r>
        <w:rPr>
          <w:rFonts w:ascii="Arial" w:hAnsi="Arial" w:eastAsia="Arial"/>
          <w:b/>
        </w:rPr>
        <w:t>Estado de incorporação:</w:t>
      </w:r>
      <w:r>
        <w:rPr>
          <w:rFonts w:ascii="Arial" w:hAnsi="Arial" w:eastAsia="Arial"/>
        </w:rPr>
        <w:t xml:space="preserve"> candidato técnico à consolidação Solution Engenharia v5.00; release/tag ainda não cortada</w:t>
      </w:r>
    </w:p>
    <w:p>
      <w:r>
        <w:rPr>
          <w:rFonts w:ascii="Arial" w:hAnsi="Arial" w:eastAsia="Arial"/>
          <w:b/>
        </w:rPr>
        <w:t>Status:</w:t>
      </w:r>
      <w:r>
        <w:rPr>
          <w:rFonts w:ascii="Arial" w:hAnsi="Arial" w:eastAsia="Arial"/>
        </w:rPr>
        <w:t xml:space="preserve"> PORTA DE ENTRADA DO BASELINE INSTITUCIONAL CONSOLIDADO</w:t>
      </w:r>
    </w:p>
    <w:p>
      <w:pPr>
        <w:pStyle w:val="Heading2"/>
        <w:keepNext/>
      </w:pPr>
      <w:r>
        <w:rPr>
          <w:rFonts w:ascii="Arial" w:hAnsi="Arial" w:eastAsia="Arial"/>
        </w:rPr>
        <w:t>1. Regra de leitura institucional</w:t>
      </w:r>
    </w:p>
    <w:p>
      <w:r>
        <w:rPr>
          <w:rFonts w:ascii="Arial" w:hAnsi="Arial" w:eastAsia="Arial"/>
        </w:rPr>
        <w:t xml:space="preserve">Para tramitação, revisão pela PRODAM e juntada ao SEI, a leitura corrente é feita por </w:t>
      </w:r>
      <w:r>
        <w:rPr>
          <w:rFonts w:ascii="Arial" w:hAnsi="Arial" w:eastAsia="Arial"/>
          <w:b/>
        </w:rPr>
        <w:t>um único documento por número</w:t>
      </w:r>
      <w:r>
        <w:rPr>
          <w:rFonts w:ascii="Arial" w:hAnsi="Arial" w:eastAsia="Arial"/>
        </w:rPr>
        <w:t>, sempre na versão 1.1:</w:t>
      </w:r>
    </w:p>
    <w:p>
      <w:pPr>
        <w:pStyle w:val="ListNumber"/>
      </w:pPr>
      <w:r>
        <w:rPr>
          <w:rFonts w:ascii="Consolas" w:hAnsi="Consolas" w:eastAsia="Consolas"/>
        </w:rPr>
        <w:t>01_Requisitos_de_Negocio_Jornada_v1.1</w:t>
      </w:r>
    </w:p>
    <w:p>
      <w:pPr>
        <w:pStyle w:val="ListNumber"/>
      </w:pPr>
      <w:r>
        <w:rPr>
          <w:rFonts w:ascii="Consolas" w:hAnsi="Consolas" w:eastAsia="Consolas"/>
        </w:rPr>
        <w:t>02_Requisitos_Funcionais_Jornada_v1.1</w:t>
      </w:r>
    </w:p>
    <w:p>
      <w:pPr>
        <w:pStyle w:val="ListNumber"/>
      </w:pPr>
      <w:r>
        <w:rPr>
          <w:rFonts w:ascii="Consolas" w:hAnsi="Consolas" w:eastAsia="Consolas"/>
        </w:rPr>
        <w:t>03_Requisitos_Nao_Funcionais_Jornada_v1.1</w:t>
      </w:r>
    </w:p>
    <w:p>
      <w:pPr>
        <w:pStyle w:val="ListNumber"/>
      </w:pPr>
      <w:r>
        <w:rPr>
          <w:rFonts w:ascii="Consolas" w:hAnsi="Consolas" w:eastAsia="Consolas"/>
        </w:rPr>
        <w:t>04_Requisitos_Tecnicos_Jornada_v1.1</w:t>
      </w:r>
    </w:p>
    <w:p>
      <w:pPr>
        <w:pStyle w:val="ListNumber"/>
      </w:pPr>
      <w:r>
        <w:rPr>
          <w:rFonts w:ascii="Consolas" w:hAnsi="Consolas" w:eastAsia="Consolas"/>
        </w:rPr>
        <w:t>05_Matriz_Rastreabilidade_Requisitos_Jornada_v1.1</w:t>
      </w:r>
    </w:p>
    <w:p>
      <w:r>
        <w:rPr>
          <w:rFonts w:ascii="Arial" w:hAnsi="Arial" w:eastAsia="Arial"/>
        </w:rPr>
        <w:t xml:space="preserve">Os arquivos v1.0 permanecem no repositório exclusivamente como baselines históricos e </w:t>
      </w:r>
      <w:r>
        <w:rPr>
          <w:rFonts w:ascii="Arial" w:hAnsi="Arial" w:eastAsia="Arial"/>
          <w:b/>
        </w:rPr>
        <w:t>não devem ser lidos cumulativamente</w:t>
      </w:r>
      <w:r>
        <w:rPr>
          <w:rFonts w:ascii="Arial" w:hAnsi="Arial" w:eastAsia="Arial"/>
        </w:rPr>
        <w:t xml:space="preserve"> com os v1.1. Os antigos aditivos usados para formar 02, 03 e 05 foram preservados em </w:t>
      </w:r>
      <w:r>
        <w:rPr>
          <w:rFonts w:ascii="Consolas" w:hAnsi="Consolas" w:eastAsia="Consolas"/>
        </w:rPr>
        <w:t>Documentos/Requisitos/Historico/</w:t>
      </w:r>
      <w:r>
        <w:rPr>
          <w:rFonts w:ascii="Arial" w:hAnsi="Arial" w:eastAsia="Arial"/>
        </w:rPr>
        <w:t xml:space="preserve"> apenas para auditoria da consolidação.</w:t>
      </w:r>
    </w:p>
    <w:p>
      <w:pPr>
        <w:pStyle w:val="Heading2"/>
        <w:keepNext/>
      </w:pPr>
      <w:r>
        <w:rPr>
          <w:rFonts w:ascii="Arial" w:hAnsi="Arial" w:eastAsia="Arial"/>
        </w:rPr>
        <w:t>2. Estrutura adotada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RN - Requisitos de Negócio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↓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RF - Requisitos Funcionais ─────┐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↓                        │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RNF - Requisitos Não Funcionais │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↓                        │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RT - Requisitos Técnicos &lt;──────┘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↓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Testes / Gates / Evidências</w:t>
      </w:r>
    </w:p>
    <w:p>
      <w:r>
        <w:rPr>
          <w:rFonts w:ascii="Arial" w:hAnsi="Arial" w:eastAsia="Arial"/>
        </w:rPr>
        <w:t>A seta representa rastreabilidade, não dependência de versão. Um RN pode produzir vários RF; um RNF pode afetar diversos RF; um RT pode realizar simultaneamente RF e RNF.</w:t>
      </w:r>
    </w:p>
    <w:p>
      <w:pPr>
        <w:pStyle w:val="Heading2"/>
        <w:keepNext/>
      </w:pPr>
      <w:r>
        <w:rPr>
          <w:rFonts w:ascii="Arial" w:hAnsi="Arial" w:eastAsia="Arial"/>
        </w:rPr>
        <w:t>3. Baselines correntes da Fase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7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Camada</w:t>
            </w:r>
          </w:p>
        </w:tc>
        <w:tc>
          <w:tcPr>
            <w:tcW w:type="dxa" w:w="25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Documento corrente</w:t>
            </w:r>
          </w:p>
        </w:tc>
        <w:tc>
          <w:tcPr>
            <w:tcW w:type="dxa" w:w="7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Versão</w:t>
            </w:r>
          </w:p>
        </w:tc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Escopo corrente</w:t>
            </w:r>
          </w:p>
        </w:tc>
        <w:tc>
          <w:tcPr>
            <w:tcW w:type="dxa" w:w="33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Regra de leitura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RN</w:t>
            </w:r>
          </w:p>
        </w:tc>
        <w:tc>
          <w:tcPr>
            <w:tcW w:type="dxa" w:w="2522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Requisitos de Negócio Jornada</w:t>
            </w:r>
          </w:p>
        </w:tc>
        <w:tc>
          <w:tcPr>
            <w:tcW w:type="dxa" w:w="737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1.1</w:t>
            </w:r>
          </w:p>
        </w:tc>
        <w:tc>
          <w:tcPr>
            <w:tcW w:type="dxa" w:w="249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36 RN</w:t>
            </w:r>
          </w:p>
        </w:tc>
        <w:tc>
          <w:tcPr>
            <w:tcW w:type="dxa" w:w="334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Documento completo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RF</w:t>
            </w:r>
          </w:p>
        </w:tc>
        <w:tc>
          <w:tcPr>
            <w:tcW w:type="dxa" w:w="2522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Requisitos Funcionais Jornada</w:t>
            </w:r>
          </w:p>
        </w:tc>
        <w:tc>
          <w:tcPr>
            <w:tcW w:type="dxa" w:w="737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1.1</w:t>
            </w:r>
          </w:p>
        </w:tc>
        <w:tc>
          <w:tcPr>
            <w:tcW w:type="dxa" w:w="249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56 RF</w:t>
            </w:r>
          </w:p>
        </w:tc>
        <w:tc>
          <w:tcPr>
            <w:tcW w:type="dxa" w:w="334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Documento completo e consolidado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RNF</w:t>
            </w:r>
          </w:p>
        </w:tc>
        <w:tc>
          <w:tcPr>
            <w:tcW w:type="dxa" w:w="2522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Requisitos Não Funcionais Jornada</w:t>
            </w:r>
          </w:p>
        </w:tc>
        <w:tc>
          <w:tcPr>
            <w:tcW w:type="dxa" w:w="737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1.1</w:t>
            </w:r>
          </w:p>
        </w:tc>
        <w:tc>
          <w:tcPr>
            <w:tcW w:type="dxa" w:w="249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33 históricos + 4 aditivos</w:t>
            </w:r>
          </w:p>
        </w:tc>
        <w:tc>
          <w:tcPr>
            <w:tcW w:type="dxa" w:w="334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Documento completo e consolidado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RT</w:t>
            </w:r>
          </w:p>
        </w:tc>
        <w:tc>
          <w:tcPr>
            <w:tcW w:type="dxa" w:w="2522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Requisitos Técnicos Jornada</w:t>
            </w:r>
          </w:p>
        </w:tc>
        <w:tc>
          <w:tcPr>
            <w:tcW w:type="dxa" w:w="737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1.1</w:t>
            </w:r>
          </w:p>
        </w:tc>
        <w:tc>
          <w:tcPr>
            <w:tcW w:type="dxa" w:w="249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baseline técnico vigente</w:t>
            </w:r>
          </w:p>
        </w:tc>
        <w:tc>
          <w:tcPr>
            <w:tcW w:type="dxa" w:w="334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Documento completo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Matriz</w:t>
            </w:r>
          </w:p>
        </w:tc>
        <w:tc>
          <w:tcPr>
            <w:tcW w:type="dxa" w:w="2522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Matriz de Rastreabilidade</w:t>
            </w:r>
          </w:p>
        </w:tc>
        <w:tc>
          <w:tcPr>
            <w:tcW w:type="dxa" w:w="737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1.1</w:t>
            </w:r>
          </w:p>
        </w:tc>
        <w:tc>
          <w:tcPr>
            <w:tcW w:type="dxa" w:w="249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cadeias históricas + incorporações v1.1</w:t>
            </w:r>
          </w:p>
        </w:tc>
        <w:tc>
          <w:tcPr>
            <w:tcW w:type="dxa" w:w="3344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Documento completo e consolidado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Arial"/>
        </w:rPr>
        <w:t>4. Política de identificadores RNF</w:t>
      </w:r>
    </w:p>
    <w:p>
      <w:r>
        <w:rPr>
          <w:rFonts w:ascii="Arial" w:hAnsi="Arial" w:eastAsia="Arial"/>
        </w:rPr>
        <w:t xml:space="preserve">A forma canônica dos 33 requisitos não funcionais históricos é </w:t>
      </w:r>
      <w:r>
        <w:rPr>
          <w:rFonts w:ascii="Consolas" w:hAnsi="Consolas" w:eastAsia="Consolas"/>
        </w:rPr>
        <w:t>RNF-001</w:t>
      </w:r>
      <w:r>
        <w:rPr>
          <w:rFonts w:ascii="Arial" w:hAnsi="Arial" w:eastAsia="Arial"/>
        </w:rPr>
        <w:t xml:space="preserve"> a </w:t>
      </w:r>
      <w:r>
        <w:rPr>
          <w:rFonts w:ascii="Consolas" w:hAnsi="Consolas" w:eastAsia="Consolas"/>
        </w:rPr>
        <w:t>RNF-033</w:t>
      </w:r>
      <w:r>
        <w:rPr>
          <w:rFonts w:ascii="Arial" w:hAnsi="Arial" w:eastAsia="Arial"/>
        </w:rPr>
        <w:t xml:space="preserve">. Os arquivos v1.0 podem exibir a forma legada </w:t>
      </w:r>
      <w:r>
        <w:rPr>
          <w:rFonts w:ascii="Consolas" w:hAnsi="Consolas" w:eastAsia="Consolas"/>
        </w:rPr>
        <w:t>RNF01</w:t>
      </w:r>
      <w:r>
        <w:rPr>
          <w:rFonts w:ascii="Arial" w:hAnsi="Arial" w:eastAsia="Arial"/>
        </w:rPr>
        <w:t xml:space="preserve"> a </w:t>
      </w:r>
      <w:r>
        <w:rPr>
          <w:rFonts w:ascii="Consolas" w:hAnsi="Consolas" w:eastAsia="Consolas"/>
        </w:rPr>
        <w:t>RNF33</w:t>
      </w:r>
      <w:r>
        <w:rPr>
          <w:rFonts w:ascii="Arial" w:hAnsi="Arial" w:eastAsia="Arial"/>
        </w:rPr>
        <w:t>; trata-se apenas de diferença de codificação, sem diferença semântica. Os documentos consolidados v1.1 normalizam essas referências.</w:t>
      </w:r>
    </w:p>
    <w:p>
      <w:r>
        <w:rPr>
          <w:rFonts w:ascii="Arial" w:hAnsi="Arial" w:eastAsia="Arial"/>
        </w:rPr>
        <w:t xml:space="preserve">Os identificadores </w:t>
      </w:r>
      <w:r>
        <w:rPr>
          <w:rFonts w:ascii="Consolas" w:hAnsi="Consolas" w:eastAsia="Consolas"/>
        </w:rPr>
        <w:t>RNF34-A</w:t>
      </w:r>
      <w:r>
        <w:rPr>
          <w:rFonts w:ascii="Arial" w:hAnsi="Arial" w:eastAsia="Arial"/>
        </w:rPr>
        <w:t xml:space="preserve">, </w:t>
      </w:r>
      <w:r>
        <w:rPr>
          <w:rFonts w:ascii="Consolas" w:hAnsi="Consolas" w:eastAsia="Consolas"/>
        </w:rPr>
        <w:t>RNF34-B</w:t>
      </w:r>
      <w:r>
        <w:rPr>
          <w:rFonts w:ascii="Arial" w:hAnsi="Arial" w:eastAsia="Arial"/>
        </w:rPr>
        <w:t xml:space="preserve">, </w:t>
      </w:r>
      <w:r>
        <w:rPr>
          <w:rFonts w:ascii="Consolas" w:hAnsi="Consolas" w:eastAsia="Consolas"/>
        </w:rPr>
        <w:t>RNF34-C</w:t>
      </w:r>
      <w:r>
        <w:rPr>
          <w:rFonts w:ascii="Arial" w:hAnsi="Arial" w:eastAsia="Arial"/>
        </w:rPr>
        <w:t xml:space="preserve"> e </w:t>
      </w:r>
      <w:r>
        <w:rPr>
          <w:rFonts w:ascii="Consolas" w:hAnsi="Consolas" w:eastAsia="Consolas"/>
        </w:rPr>
        <w:t>RNF34-D</w:t>
      </w:r>
      <w:r>
        <w:rPr>
          <w:rFonts w:ascii="Arial" w:hAnsi="Arial" w:eastAsia="Arial"/>
        </w:rPr>
        <w:t xml:space="preserve"> foram introduzidos como aditivos e são preservados nesta consolidação para não quebrar rastreabilidade já estabelecida. Eventual renumeração integral deve ocorrer apenas em rebaseline explícito, com atualização conjunta de requisitos, matriz, testes e documentação afetada.</w:t>
      </w:r>
    </w:p>
    <w:p>
      <w:pPr>
        <w:pStyle w:val="Heading2"/>
        <w:keepNext/>
      </w:pPr>
      <w:r>
        <w:rPr>
          <w:rFonts w:ascii="Arial" w:hAnsi="Arial" w:eastAsia="Arial"/>
        </w:rPr>
        <w:t>5. Regra de governança</w:t>
      </w:r>
    </w:p>
    <w:p>
      <w:pPr>
        <w:pStyle w:val="ListBullet"/>
      </w:pPr>
      <w:r>
        <w:rPr>
          <w:rFonts w:ascii="Arial" w:hAnsi="Arial" w:eastAsia="Arial"/>
          <w:b/>
        </w:rPr>
        <w:t>RN</w:t>
      </w:r>
      <w:r>
        <w:rPr>
          <w:rFonts w:ascii="Arial" w:hAnsi="Arial" w:eastAsia="Arial"/>
        </w:rPr>
        <w:t xml:space="preserve"> muda por decisão de negócio/institucional.</w:t>
      </w:r>
    </w:p>
    <w:p>
      <w:pPr>
        <w:pStyle w:val="ListBullet"/>
      </w:pPr>
      <w:r>
        <w:rPr>
          <w:rFonts w:ascii="Arial" w:hAnsi="Arial" w:eastAsia="Arial"/>
          <w:b/>
        </w:rPr>
        <w:t>RF</w:t>
      </w:r>
      <w:r>
        <w:rPr>
          <w:rFonts w:ascii="Arial" w:hAnsi="Arial" w:eastAsia="Arial"/>
        </w:rPr>
        <w:t xml:space="preserve"> muda quando o comportamento esperado da solução muda.</w:t>
      </w:r>
    </w:p>
    <w:p>
      <w:pPr>
        <w:pStyle w:val="ListBullet"/>
      </w:pPr>
      <w:r>
        <w:rPr>
          <w:rFonts w:ascii="Arial" w:hAnsi="Arial" w:eastAsia="Arial"/>
          <w:b/>
        </w:rPr>
        <w:t>RNF</w:t>
      </w:r>
      <w:r>
        <w:rPr>
          <w:rFonts w:ascii="Arial" w:hAnsi="Arial" w:eastAsia="Arial"/>
        </w:rPr>
        <w:t xml:space="preserve"> muda quando qualidade, capacidade, segurança, compatibilidade ou restrição normativa muda.</w:t>
      </w:r>
    </w:p>
    <w:p>
      <w:pPr>
        <w:pStyle w:val="ListBullet"/>
      </w:pPr>
      <w:r>
        <w:rPr>
          <w:rFonts w:ascii="Arial" w:hAnsi="Arial" w:eastAsia="Arial"/>
          <w:b/>
        </w:rPr>
        <w:t>RT</w:t>
      </w:r>
      <w:r>
        <w:rPr>
          <w:rFonts w:ascii="Arial" w:hAnsi="Arial" w:eastAsia="Arial"/>
        </w:rPr>
        <w:t xml:space="preserve"> pode evoluir por arquitetura, plataforma, segurança, operação ou implementação sem alterar necessariamente RN/RF.</w:t>
      </w:r>
    </w:p>
    <w:p>
      <w:pPr>
        <w:pStyle w:val="ListBullet"/>
      </w:pPr>
      <w:r>
        <w:rPr>
          <w:rFonts w:ascii="Arial" w:hAnsi="Arial" w:eastAsia="Arial"/>
        </w:rPr>
        <w:t>Mudança material deve atualizar a Matriz de Rastreabilidade e indicar impacto nas camadas relacionadas.</w:t>
      </w:r>
    </w:p>
    <w:p>
      <w:pPr>
        <w:pStyle w:val="ListBullet"/>
      </w:pPr>
      <w:r>
        <w:rPr>
          <w:rFonts w:ascii="Arial" w:hAnsi="Arial" w:eastAsia="Arial"/>
        </w:rPr>
        <w:t>O baseline institucional corrente deve permanecer autossuficiente; aditivos de engenharia podem existir como histórico, mas não podem obrigar o destinatário institucional a montar manualmente o documento vigente.</w:t>
      </w:r>
    </w:p>
    <w:p>
      <w:pPr>
        <w:pStyle w:val="Heading2"/>
        <w:keepNext/>
      </w:pPr>
      <w:r>
        <w:rPr>
          <w:rFonts w:ascii="Arial" w:hAnsi="Arial" w:eastAsia="Arial"/>
        </w:rPr>
        <w:t>6. Relação com os demais artefatos</w:t>
      </w:r>
    </w:p>
    <w:p>
      <w:r>
        <w:rPr>
          <w:rFonts w:ascii="Arial" w:hAnsi="Arial" w:eastAsia="Arial"/>
        </w:rPr>
        <w:t>A família de requisitos não substitui a Especificação Técnica v3.62, DDL, OpenAPI, JSON Schemas, documentação de arquitetura, runbooks ou evidências de teste. Ela organiza a intenção e a rastreabilidade entre esses artefatos. O estado técnico desta branch usa SolutionSchema v3.70, mas a release/tag v5.00 somente passa a existir quando for efetivamente cortada.</w:t>
      </w:r>
    </w:p>
    <w:p>
      <w:pPr>
        <w:pStyle w:val="Heading2"/>
        <w:keepNext/>
      </w:pPr>
      <w:r>
        <w:rPr>
          <w:rFonts w:ascii="Arial" w:hAnsi="Arial" w:eastAsia="Arial"/>
        </w:rPr>
        <w:t>7. Controle de versão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true"/>
        </w:trPr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Versão</w:t>
            </w:r>
          </w:p>
        </w:tc>
        <w:tc>
          <w:tcPr>
            <w:tcW w:type="dxa" w:w="133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Data</w:t>
            </w:r>
          </w:p>
        </w:tc>
        <w:tc>
          <w:tcPr>
            <w:tcW w:type="dxa" w:w="405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Síntese</w:t>
            </w:r>
          </w:p>
        </w:tc>
        <w:tc>
          <w:tcPr>
            <w:tcW w:type="dxa" w:w="36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Incorporação</w:t>
            </w:r>
          </w:p>
        </w:tc>
      </w:tr>
      <w:tr>
        <w:trPr>
          <w:cantSplit w:val="true"/>
        </w:trPr>
        <w:tc>
          <w:tcPr>
            <w:tcW w:type="dxa" w:w="878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1.0</w:t>
            </w:r>
          </w:p>
        </w:tc>
        <w:tc>
          <w:tcPr>
            <w:tcW w:type="dxa" w:w="1332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03/09/2026</w:t>
            </w:r>
          </w:p>
        </w:tc>
        <w:tc>
          <w:tcPr>
            <w:tcW w:type="dxa" w:w="4053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Institui a hierarquia RN/RF/RNF/RT e a matriz única de rastreabilidade para a Fase 1.</w:t>
            </w:r>
          </w:p>
        </w:tc>
        <w:tc>
          <w:tcPr>
            <w:tcW w:type="dxa" w:w="3600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Solution Engenharia v3.98</w:t>
            </w:r>
          </w:p>
        </w:tc>
      </w:tr>
      <w:tr>
        <w:trPr>
          <w:cantSplit w:val="true"/>
        </w:trPr>
        <w:tc>
          <w:tcPr>
            <w:tcW w:type="dxa" w:w="878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1.1</w:t>
            </w:r>
          </w:p>
        </w:tc>
        <w:tc>
          <w:tcPr>
            <w:tcW w:type="dxa" w:w="1332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10/09/2026</w:t>
            </w:r>
          </w:p>
        </w:tc>
        <w:tc>
          <w:tcPr>
            <w:tcW w:type="dxa" w:w="4053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Consolida 02, 03 e 05 em artefatos autossuficientes, atualiza SolutionSchema para 3.70 e explicita a política de leitura e identificadores legados.</w:t>
            </w:r>
          </w:p>
        </w:tc>
        <w:tc>
          <w:tcPr>
            <w:tcW w:type="dxa" w:w="3600"/>
            <w:vAlign w:val="top"/>
            <w:tcMar>
              <w:top w:w="38" w:type="dxa"/>
              <w:start w:w="50" w:type="dxa"/>
              <w:bottom w:w="38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Candidato técnico à consolidação v5.00; release/tag ainda não cortada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 w:eastAsia="Arial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