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Índice Mestre de Requisitos - Jornada do Cidadão - Fase 1</w:t>
      </w:r>
    </w:p>
    <w:p>
      <w:r>
        <w:t/>
      </w:r>
    </w:p>
    <w:p>
      <w:r>
        <w:t xml:space="preserve">**Versão do documento:** 1.0  </w:t>
      </w:r>
    </w:p>
    <w:p>
      <w:r>
        <w:t xml:space="preserve">**Data:** 03/09/2026  </w:t>
      </w:r>
    </w:p>
    <w:p>
      <w:r>
        <w:t xml:space="preserve">**Base normativa:** Especificação Técnica Jornada v3.62  </w:t>
      </w:r>
    </w:p>
    <w:p>
      <w:r>
        <w:t xml:space="preserve">**SolutionSchema:** SolutionSchema v3.68  </w:t>
      </w:r>
    </w:p>
    <w:p>
      <w:r>
        <w:t xml:space="preserve">**Release de incorporação:** Solution Engenharia v3.98  </w:t>
      </w:r>
    </w:p>
    <w:p>
      <w:r>
        <w:t>**Status:** PORTA DE ENTRADA DA FAMÍLIA DE REQUISITOS</w:t>
      </w:r>
    </w:p>
    <w:p>
      <w:r>
        <w:t/>
      </w:r>
    </w:p>
    <w:p>
      <w:pPr>
        <w:pStyle w:val="Heading2"/>
      </w:pPr>
      <w:r>
        <w:t>1. Estrutura adotada</w:t>
      </w:r>
    </w:p>
    <w:p>
      <w:r>
        <w:t/>
      </w:r>
    </w:p>
    <w:p>
      <w:r>
        <w:t>A Fase 1 passa a organizar requisitos por nível de abstração:</w:t>
      </w:r>
    </w:p>
    <w:p>
      <w:r>
        <w:t/>
      </w:r>
    </w:p>
    <w:p>
      <w:r>
        <w:t>```text</w:t>
      </w:r>
    </w:p>
    <w:p>
      <w:r>
        <w:t>RN - Requisitos de Negócio</w:t>
      </w:r>
    </w:p>
    <w:p>
      <w:r>
        <w:t xml:space="preserve">        ↓</w:t>
      </w:r>
    </w:p>
    <w:p>
      <w:r>
        <w:t>RF - Requisitos Funcionais ─────┐</w:t>
      </w:r>
    </w:p>
    <w:p>
      <w:r>
        <w:t xml:space="preserve">        ↓                        │</w:t>
      </w:r>
    </w:p>
    <w:p>
      <w:r>
        <w:t>RNF - Requisitos Não Funcionais │</w:t>
      </w:r>
    </w:p>
    <w:p>
      <w:r>
        <w:t xml:space="preserve">        ↓                        │</w:t>
      </w:r>
    </w:p>
    <w:p>
      <w:r>
        <w:t>RT - Requisitos Técnicos &lt;──────┘</w:t>
      </w:r>
    </w:p>
    <w:p>
      <w:r>
        <w:t xml:space="preserve">        ↓</w:t>
      </w:r>
    </w:p>
    <w:p>
      <w:r>
        <w:t>Testes / Gates / Evidências</w:t>
      </w:r>
    </w:p>
    <w:p>
      <w:r>
        <w:t>```</w:t>
      </w:r>
    </w:p>
    <w:p>
      <w:r>
        <w:t/>
      </w:r>
    </w:p>
    <w:p>
      <w:r>
        <w:t>A seta representa rastreabilidade, não dependência de versão. Um RN pode produzir vários RF; um RNF pode afetar diversos RF; um RT pode realizar simultaneamente RF e RNF.</w:t>
      </w:r>
    </w:p>
    <w:p>
      <w:r>
        <w:t/>
      </w:r>
    </w:p>
    <w:p>
      <w:pPr>
        <w:pStyle w:val="Heading2"/>
      </w:pPr>
      <w:r>
        <w:t>2. Baselines da Fase 1</w:t>
      </w:r>
    </w:p>
    <w:p>
      <w:r>
        <w:t/>
      </w:r>
    </w:p>
    <w:p>
      <w:r>
        <w:t>| Camada | Documento | Versão | Quantidade | Pergunta respondida |</w:t>
      </w:r>
    </w:p>
    <w:p>
      <w:r>
        <w:t>|---|---|---:|---:|---|</w:t>
      </w:r>
    </w:p>
    <w:p>
      <w:r>
        <w:t>| RN | Requisitos de Negócio Jornada | 1.1 | 36 | Por que / qual resultado institucional? |</w:t>
      </w:r>
    </w:p>
    <w:p>
      <w:r>
        <w:t>| RF | Requisitos Funcionais Jornada | 1.0 | 50 | O que a solução deve fazer? |</w:t>
      </w:r>
    </w:p>
    <w:p>
      <w:r>
        <w:t>| RNF | Requisitos Não Funcionais Jornada | 1.0 | 33 | Com quais qualidades/restrições? |</w:t>
      </w:r>
    </w:p>
    <w:p>
      <w:r>
        <w:t>| RT | Requisitos Técnicos Jornada | 1.1 | 65 | Como a engenharia materializa RF/RNF? |</w:t>
      </w:r>
    </w:p>
    <w:p>
      <w:r>
        <w:t>| Matriz | Matriz de Rastreabilidade | 1.0 | 36 cadeias RN | Como requisito e evidência se conectam? |</w:t>
      </w:r>
    </w:p>
    <w:p>
      <w:r>
        <w:t/>
      </w:r>
    </w:p>
    <w:p>
      <w:pPr>
        <w:pStyle w:val="Heading2"/>
      </w:pPr>
      <w:r>
        <w:t>3. Regra de governança</w:t>
      </w:r>
    </w:p>
    <w:p>
      <w:r>
        <w:t/>
      </w:r>
    </w:p>
    <w:p>
      <w:r>
        <w:t>- **RN** muda por decisão de negócio/institucional.</w:t>
      </w:r>
    </w:p>
    <w:p>
      <w:r>
        <w:t>- **RF** muda quando o comportamento esperado da solução muda.</w:t>
      </w:r>
    </w:p>
    <w:p>
      <w:r>
        <w:t>- **RNF** muda quando qualidade, capacidade, segurança, compatibilidade ou restrição normativa muda; os RNF canônicos da Fase 1 permanecem subordinados à Especificação Técnica v3.62.</w:t>
      </w:r>
    </w:p>
    <w:p>
      <w:r>
        <w:t>- **RT** pode evoluir por arquitetura, plataforma, segurança, operação ou implementação sem alterar necessariamente RN/RF.</w:t>
      </w:r>
    </w:p>
    <w:p>
      <w:r>
        <w:t>- Mudança material deve atualizar a Matriz de Rastreabilidade e indicar impacto nas camadas relacionadas.</w:t>
      </w:r>
    </w:p>
    <w:p>
      <w:r>
        <w:t/>
      </w:r>
    </w:p>
    <w:p>
      <w:pPr>
        <w:pStyle w:val="Heading2"/>
      </w:pPr>
      <w:r>
        <w:t>4. Requisitos das partes interessadas</w:t>
      </w:r>
    </w:p>
    <w:p>
      <w:r>
        <w:t/>
      </w:r>
    </w:p>
    <w:p>
      <w:r>
        <w:t>A Fase 1 não cria um quinto baseline separado de *stakeholder requirements*. Necessidades específicas de SGM/SEPE, PRODAM, Gestores, governança e consumidores autorizados permanecem registradas nos RN e especializadas nos RF. Se a complexidade institucional exigir, essa camada pode ser criada futuramente sem renumerar os baselines atuais.</w:t>
      </w:r>
    </w:p>
    <w:p>
      <w:r>
        <w:t/>
      </w:r>
    </w:p>
    <w:p>
      <w:pPr>
        <w:pStyle w:val="Heading2"/>
      </w:pPr>
      <w:r>
        <w:t>5. Ordem recomendada de leitura</w:t>
      </w:r>
    </w:p>
    <w:p>
      <w:r>
        <w:t/>
      </w:r>
    </w:p>
    <w:p>
      <w:r>
        <w:t>1. `01_Requisitos_de_Negocio_Jornada_v1.1`</w:t>
      </w:r>
    </w:p>
    <w:p>
      <w:r>
        <w:t>2. `02_Requisitos_Funcionais_Jornada_v1.0`</w:t>
      </w:r>
    </w:p>
    <w:p>
      <w:r>
        <w:t>3. `03_Requisitos_Nao_Funcionais_Jornada_v1.0`</w:t>
      </w:r>
    </w:p>
    <w:p>
      <w:r>
        <w:t>4. `04_Requisitos_Tecnicos_Jornada_v1.1`</w:t>
      </w:r>
    </w:p>
    <w:p>
      <w:r>
        <w:t>5. `05_Matriz_Rastreabilidade_Requisitos_Jornada_v1.0`</w:t>
      </w:r>
    </w:p>
    <w:p>
      <w:r>
        <w:t/>
      </w:r>
    </w:p>
    <w:p>
      <w:pPr>
        <w:pStyle w:val="Heading2"/>
      </w:pPr>
      <w:r>
        <w:t>6. Relação com os demais artefatos</w:t>
      </w:r>
    </w:p>
    <w:p>
      <w:r>
        <w:t/>
      </w:r>
    </w:p>
    <w:p>
      <w:r>
        <w:t>A família de requisitos **não substitui** a Especificação Técnica v3.62, SolutionSchema v3.68, DDL, OpenAPI, JSON Schemas, ADRs, runbooks ou evidências de teste. Ela organiza a intenção e a rastreabilidade entre esses artefatos.</w:t>
      </w:r>
    </w:p>
    <w:p>
      <w:r>
        <w:t/>
      </w:r>
    </w:p>
    <w:p>
      <w:pPr>
        <w:pStyle w:val="Heading2"/>
      </w:pPr>
      <w:r>
        <w:t>7. Controle de versão</w:t>
      </w:r>
    </w:p>
    <w:p>
      <w:r>
        <w:t/>
      </w:r>
    </w:p>
    <w:p>
      <w:r>
        <w:t>| Versão | Data | Síntese | Incorporação |</w:t>
      </w:r>
    </w:p>
    <w:p>
      <w:r>
        <w:t>|---|---|---|---|</w:t>
      </w:r>
    </w:p>
    <w:p>
      <w:r>
        <w:t>| 1.0 | 03/09/2026 | Institui a hierarquia RN/RF/RNF/RT e a matriz única de rastreabilidade para a Fase 1. | Solution Engenharia v3.98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