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Requisitos Técnicos - Jornada do Cidadão - Fase 1</w:t>
      </w:r>
    </w:p>
    <w:p>
      <w:r>
        <w:t/>
      </w:r>
    </w:p>
    <w:p>
      <w:r>
        <w:t xml:space="preserve">**Versão do documento:** 1.1  </w:t>
      </w:r>
    </w:p>
    <w:p>
      <w:r>
        <w:t xml:space="preserve">**Data:** 03/09/2026  </w:t>
      </w:r>
    </w:p>
    <w:p>
      <w:r>
        <w:t xml:space="preserve">**Base normativa:** Especificação Técnica Jornada v3.62  </w:t>
      </w:r>
    </w:p>
    <w:p>
      <w:r>
        <w:t xml:space="preserve">**SolutionSchema:** SolutionSchema v3.68  </w:t>
      </w:r>
    </w:p>
    <w:p>
      <w:r>
        <w:t xml:space="preserve">**Família de requisitos relacionada:** RN v1.1; RF v1.0; RNF v1.0; Matriz de Rastreabilidade v1.0  </w:t>
      </w:r>
    </w:p>
    <w:p>
      <w:r>
        <w:t xml:space="preserve">**Release de incorporação:** Solution Engenharia v3.98  </w:t>
      </w:r>
    </w:p>
    <w:p>
      <w:r>
        <w:t>**Status:** BASELINE TÉCNICO - CAMADA DE REALIZAÇÃO DA HIERARQUIA RN -&gt; RF/RNF -&gt; RT</w:t>
      </w:r>
    </w:p>
    <w:p>
      <w:r>
        <w:t/>
      </w:r>
    </w:p>
    <w:p>
      <w:r>
        <w:t>&gt; Este documento consolida a camada de realização técnica da Fase 1. Os RF definem o comportamento da solução; os RNF definem atributos de qualidade e restrições; os RT especificam tecnologia, arquitetura, persistência, segurança, operação e mecanismos concretos para materializá-los. Ele não substitui a Base Normativa, DDL, contratos, ADRs nem runbooks.</w:t>
      </w:r>
    </w:p>
    <w:p>
      <w:r>
        <w:t/>
      </w:r>
    </w:p>
    <w:p>
      <w:pPr>
        <w:pStyle w:val="Heading2"/>
      </w:pPr>
      <w:r>
        <w:t>1. Finalidade</w:t>
      </w:r>
    </w:p>
    <w:p>
      <w:r>
        <w:t/>
      </w:r>
    </w:p>
    <w:p>
      <w:r>
        <w:t>Registrar, em linguagem de engenharia e com rastreabilidade, os requisitos que a implementação da Jornada do Cidadão - Fase 1 deve satisfazer para materializar os Requisitos de Negócio v1.1 e a Especificação Técnica v3.62. O documento transforma decisões normativas e de arquitetura em obrigações técnicas verificáveis, sem misturar necessidade de negócio com detalhe de implementação.</w:t>
      </w:r>
    </w:p>
    <w:p>
      <w:r>
        <w:t/>
      </w:r>
    </w:p>
    <w:p>
      <w:pPr>
        <w:pStyle w:val="Heading2"/>
      </w:pPr>
      <w:r>
        <w:t>2. Posição na hierarquia de requisitos</w:t>
      </w:r>
    </w:p>
    <w:p>
      <w:r>
        <w:t/>
      </w:r>
    </w:p>
    <w:p>
      <w:r>
        <w:t>A família documental da Fase 1 adota quatro camadas: **RN** (necessidade/resultado de negócio), **RF** (comportamento funcional da solução), **RNF** (qualidades e restrições) e **RT** (realização técnica). Os 65 RT deste baseline permanecem válidos; a versão 1.1 apenas os posiciona explicitamente na camada técnica e remete a rastreabilidade cruzada ao documento mestre.</w:t>
      </w:r>
    </w:p>
    <w:p>
      <w:r>
        <w:t/>
      </w:r>
    </w:p>
    <w:p>
      <w:r>
        <w:t>A relação completa RN -&gt; RF -&gt; RNF -&gt; RT -&gt; evidência está em `Matriz_Rastreabilidade_Requisitos_Jornada_v1.0`.</w:t>
      </w:r>
    </w:p>
    <w:p>
      <w:r>
        <w:t/>
      </w:r>
    </w:p>
    <w:p>
      <w:pPr>
        <w:pStyle w:val="Heading2"/>
      </w:pPr>
      <w:r>
        <w:t>3. Escopo técnico da Fase 1</w:t>
      </w:r>
    </w:p>
    <w:p>
      <w:r>
        <w:t/>
      </w:r>
    </w:p>
    <w:p>
      <w:r>
        <w:t>- Plataforma .NET 8/C# 12 e SQL Server para a implementação normativa.</w:t>
      </w:r>
    </w:p>
    <w:p>
      <w:r>
        <w:t>- Contratos JSON/OpenAPI/DDL versionados e configuração como código.</w:t>
      </w:r>
    </w:p>
    <w:p>
      <w:r>
        <w:t>- Recepção ZIP v2, Bronze externa content-addressed, Processor assíncrono e estados operacionais.</w:t>
      </w:r>
    </w:p>
    <w:p>
      <w:r>
        <w:t>- Resolução determinística e probabilística de identidade, Gold Pessoas, Gold Registros e governança de divergências.</w:t>
      </w:r>
    </w:p>
    <w:p>
      <w:r>
        <w:t>- APIs de Pessoa, Registros e Possibilidades com autorização, projeção, auditoria e minimização.</w:t>
      </w:r>
    </w:p>
    <w:p>
      <w:r>
        <w:t>- Referência Territorial, Serving/BI, segurança, proteção de dados, observabilidade, operação e continuidade.</w:t>
      </w:r>
    </w:p>
    <w:p>
      <w:r>
        <w:t>- Testes reprodutíveis, restore locked, SQL Server real em Integration e gates de promoção para HML/Produção.</w:t>
      </w:r>
    </w:p>
    <w:p>
      <w:r>
        <w:t/>
      </w:r>
    </w:p>
    <w:p>
      <w:pPr>
        <w:pStyle w:val="Heading2"/>
      </w:pPr>
      <w:r>
        <w:t>4. Princípios técnicos</w:t>
      </w:r>
    </w:p>
    <w:p>
      <w:r>
        <w:t/>
      </w:r>
    </w:p>
    <w:p>
      <w:r>
        <w:t>- **Contratos antes da implementação:** interfaces compartilhadas são estáveis, versionadas e revisadas.</w:t>
      </w:r>
    </w:p>
    <w:p>
      <w:r>
        <w:t>- **Fail closed em integridade e identidade:** dúvida de integridade, autorização ou conflito de identidade não é resolvida por heurística silenciosa.</w:t>
      </w:r>
    </w:p>
    <w:p>
      <w:r>
        <w:t>- **Evidência e replay:** dados de entrada, decisões de identidade e publicações mantêm origem, versão e histórico suficientes para auditoria/reexecução.</w:t>
      </w:r>
    </w:p>
    <w:p>
      <w:r>
        <w:t>- **Separação de responsabilidades:** API recebe, Processor materializa, Runner resolve fallback probabilístico, BI analisa e Gestores finalísticos mantêm decisão administrativa.</w:t>
      </w:r>
    </w:p>
    <w:p>
      <w:r>
        <w:t>- **Operação observável:** locks, leases, filas, runs, retries e alertas são mensuráveis e recuperáveis.</w:t>
      </w:r>
    </w:p>
    <w:p>
      <w:r>
        <w:t>- **Segurança por minimização:** segredos, payloads e identificadores civis não são propagados além do necessário.</w:t>
      </w:r>
    </w:p>
    <w:p>
      <w:r>
        <w:t/>
      </w:r>
    </w:p>
    <w:p>
      <w:pPr>
        <w:pStyle w:val="Heading2"/>
      </w:pPr>
      <w:r>
        <w:t>5. Requisitos Técnicos</w:t>
      </w:r>
    </w:p>
    <w:p>
      <w:r>
        <w:t/>
      </w:r>
    </w:p>
    <w:p>
      <w:r>
        <w:t/>
      </w:r>
    </w:p>
    <w:p>
      <w:pPr>
        <w:pStyle w:val="Heading3"/>
      </w:pPr>
      <w:r>
        <w:t>5.1 Plataforma e base tecnológica</w:t>
      </w:r>
    </w:p>
    <w:p>
      <w:r>
        <w:t/>
      </w:r>
    </w:p>
    <w:p>
      <w:r>
        <w:t>#### RT-001 - Padronizar a plataforma de execução em .NET 8 e C# 12</w:t>
      </w:r>
    </w:p>
    <w:p>
      <w:r>
        <w:t/>
      </w:r>
    </w:p>
    <w:p>
      <w:r>
        <w:t>**Requisito técnico.** Todo código C# da Fase 1 deve compilar para net8.0, com C# 12 definido de forma centralizada e sem divergência de linguagem entre projetos da Solution.</w:t>
      </w:r>
    </w:p>
    <w:p>
      <w:r>
        <w:t/>
      </w:r>
    </w:p>
    <w:p>
      <w:r>
        <w:t>**Critério de aceitação técnica.** Build Release da Solution e dos projetos de teste conclui sem erro; o framework e a versão da linguagem são centralmente verificáveis.</w:t>
      </w:r>
    </w:p>
    <w:p>
      <w:r>
        <w:t/>
      </w:r>
    </w:p>
    <w:p>
      <w:r>
        <w:t>**Rastreabilidade de negócio.** RN-001, RN-035</w:t>
      </w:r>
    </w:p>
    <w:p>
      <w:r>
        <w:t/>
      </w:r>
    </w:p>
    <w:p>
      <w:r>
        <w:t>**Rastreabilidade normativa/técnica.** § 17, RNF01; § 18.1</w:t>
      </w:r>
    </w:p>
    <w:p>
      <w:r>
        <w:t/>
      </w:r>
    </w:p>
    <w:p>
      <w:r>
        <w:t>#### RT-002 - Adotar SQL Server como tecnologia relacional normativa</w:t>
      </w:r>
    </w:p>
    <w:p>
      <w:r>
        <w:t/>
      </w:r>
    </w:p>
    <w:p>
      <w:r>
        <w:t>**Requisito técnico.** A persistência relacional normativa da Fase 1 deve usar SQL Server, com DDL, constraints, procedures, views e testes de integração compatíveis com o motor homologado.</w:t>
      </w:r>
    </w:p>
    <w:p>
      <w:r>
        <w:t/>
      </w:r>
    </w:p>
    <w:p>
      <w:r>
        <w:t>**Critério de aceitação técnica.** O DDL e o seed reais são aplicados em SQL Server e os testes de integração exercitam o mesmo mecanismo relacional previsto para a solução.</w:t>
      </w:r>
    </w:p>
    <w:p>
      <w:r>
        <w:t/>
      </w:r>
    </w:p>
    <w:p>
      <w:r>
        <w:t>**Rastreabilidade de negócio.** RN-003, RN-035</w:t>
      </w:r>
    </w:p>
    <w:p>
      <w:r>
        <w:t/>
      </w:r>
    </w:p>
    <w:p>
      <w:r>
        <w:t>**Rastreabilidade normativa/técnica.** § 17, RNF02 e RNF12; atualização v3.54</w:t>
      </w:r>
    </w:p>
    <w:p>
      <w:r>
        <w:t/>
      </w:r>
    </w:p>
    <w:p>
      <w:r>
        <w:t>#### RT-003 - Manter a Solution autocontida quanto aos componentes normativos</w:t>
      </w:r>
    </w:p>
    <w:p>
      <w:r>
        <w:t/>
      </w:r>
    </w:p>
    <w:p>
      <w:r>
        <w:t>**Requisito técnico.** A Solution não deve depender, para compilar ou executar o fluxo normativo, de componente histórico ausente de Jornada.sln ou de artefato externo não declarado.</w:t>
      </w:r>
    </w:p>
    <w:p>
      <w:r>
        <w:t/>
      </w:r>
    </w:p>
    <w:p>
      <w:r>
        <w:t>**Critério de aceitação técnica.** Uma restauração e build limpos da Solution resolvem todos os projetos normativos e não exigem binários históricos não versionados.</w:t>
      </w:r>
    </w:p>
    <w:p>
      <w:r>
        <w:t/>
      </w:r>
    </w:p>
    <w:p>
      <w:r>
        <w:t>**Rastreabilidade de negócio.** RN-001, RN-035</w:t>
      </w:r>
    </w:p>
    <w:p>
      <w:r>
        <w:t/>
      </w:r>
    </w:p>
    <w:p>
      <w:r>
        <w:t>**Rastreabilidade normativa/técnica.** § 17, RNF18; § 18.1</w:t>
      </w:r>
    </w:p>
    <w:p>
      <w:r>
        <w:t/>
      </w:r>
    </w:p>
    <w:p>
      <w:r>
        <w:t>#### RT-004 - Externalizar configuração e secrets por ambiente</w:t>
      </w:r>
    </w:p>
    <w:p>
      <w:r>
        <w:t/>
      </w:r>
    </w:p>
    <w:p>
      <w:r>
        <w:t>**Requisito técnico.** Endpoints, credenciais técnicas, chaves, certificados, parâmetros de banco e demais secrets devem ser substituíveis por configuração de ambiente, sem recompilar aplicações e sem versionar segredo em repositório.</w:t>
      </w:r>
    </w:p>
    <w:p>
      <w:r>
        <w:t/>
      </w:r>
    </w:p>
    <w:p>
      <w:r>
        <w:t>**Critério de aceitação técnica.** HML pode alterar secret/configuração sem rebuild; varredura do repositório não encontra chaves operacionais versionadas.</w:t>
      </w:r>
    </w:p>
    <w:p>
      <w:r>
        <w:t/>
      </w:r>
    </w:p>
    <w:p>
      <w:r>
        <w:t>**Rastreabilidade de negócio.** RN-029, RN-030, RN-033</w:t>
      </w:r>
    </w:p>
    <w:p>
      <w:r>
        <w:t/>
      </w:r>
    </w:p>
    <w:p>
      <w:r>
        <w:t>**Rastreabilidade normativa/técnica.** §§ 13.2 a 13.4; § 17, RNF17</w:t>
      </w:r>
    </w:p>
    <w:p>
      <w:r>
        <w:t/>
      </w:r>
    </w:p>
    <w:p>
      <w:r>
        <w:t>#### RT-005 - Vincular releases de engenharia a fonte Git identificável</w:t>
      </w:r>
    </w:p>
    <w:p>
      <w:r>
        <w:t/>
      </w:r>
    </w:p>
    <w:p>
      <w:r>
        <w:t>**Requisito técnico.** Cada release de engenharia deve estar vinculada a commit/tag Git e possuir proveniência suficiente para reconstruir ou auditar o estado-fonte distribuído.</w:t>
      </w:r>
    </w:p>
    <w:p>
      <w:r>
        <w:t/>
      </w:r>
    </w:p>
    <w:p>
      <w:r>
        <w:t>**Critério de aceitação técnica.** O pacote registra tag, commit, predecessor e bundle/fonte correspondente, sem atribuir ao ambiente de empacotamento evidências que não foram executadas nele.</w:t>
      </w:r>
    </w:p>
    <w:p>
      <w:r>
        <w:t/>
      </w:r>
    </w:p>
    <w:p>
      <w:r>
        <w:t>**Rastreabilidade de negócio.** RN-014, RN-029, RN-033</w:t>
      </w:r>
    </w:p>
    <w:p>
      <w:r>
        <w:t/>
      </w:r>
    </w:p>
    <w:p>
      <w:r>
        <w:t>**Rastreabilidade normativa/técnica.** atualização v3.54; governança § 15.2 e § 15.8</w:t>
      </w:r>
    </w:p>
    <w:p>
      <w:r>
        <w:t/>
      </w:r>
    </w:p>
    <w:p>
      <w:r>
        <w:t/>
      </w:r>
    </w:p>
    <w:p>
      <w:pPr>
        <w:pStyle w:val="Heading3"/>
      </w:pPr>
      <w:r>
        <w:t>5.2 Contratos e versionamento</w:t>
      </w:r>
    </w:p>
    <w:p>
      <w:r>
        <w:t/>
      </w:r>
    </w:p>
    <w:p>
      <w:r>
        <w:t>#### RT-006 - Versionar contratos de Pessoa por Gestor</w:t>
      </w:r>
    </w:p>
    <w:p>
      <w:r>
        <w:t/>
      </w:r>
    </w:p>
    <w:p>
      <w:r>
        <w:t>**Requisito técnico.** Cada Gestor deve possuir contrato cadastral de Pessoa versionado em config/contracts/gestores/&lt;GESTOR&gt;/pessoa/vN, com metadados e JSON Schema correspondentes.</w:t>
      </w:r>
    </w:p>
    <w:p>
      <w:r>
        <w:t/>
      </w:r>
    </w:p>
    <w:p>
      <w:r>
        <w:t>**Critério de aceitação técnica.** A ingestão seleciona o contrato pela versão declarada e rejeita payload incompatível com o schema ativado.</w:t>
      </w:r>
    </w:p>
    <w:p>
      <w:r>
        <w:t/>
      </w:r>
    </w:p>
    <w:p>
      <w:r>
        <w:t>**Rastreabilidade de negócio.** RN-002, RN-014, RN-034, RN-035</w:t>
      </w:r>
    </w:p>
    <w:p>
      <w:r>
        <w:t/>
      </w:r>
    </w:p>
    <w:p>
      <w:r>
        <w:t>**Rastreabilidade normativa/técnica.** § 5.2; §§ 6.1 a 6.3</w:t>
      </w:r>
    </w:p>
    <w:p>
      <w:r>
        <w:t/>
      </w:r>
    </w:p>
    <w:p>
      <w:r>
        <w:t>#### RT-007 - Versionar contratos factuais por Tipo e Natureza</w:t>
      </w:r>
    </w:p>
    <w:p>
      <w:r>
        <w:t/>
      </w:r>
    </w:p>
    <w:p>
      <w:r>
        <w:t>**Requisito técnico.** Cada Tipo de Benefício ou Serviço deve possuir versão contratual própria, com Natureza, metadados, pessoa.schema.json e registro.schema.json aplicáveis.</w:t>
      </w:r>
    </w:p>
    <w:p>
      <w:r>
        <w:t/>
      </w:r>
    </w:p>
    <w:p>
      <w:r>
        <w:t>**Critério de aceitação técnica.** Mudança material de regra, vigência, medida ou contrato exige nova versão; o código de Tipo permanece estável.</w:t>
      </w:r>
    </w:p>
    <w:p>
      <w:r>
        <w:t/>
      </w:r>
    </w:p>
    <w:p>
      <w:r>
        <w:t>**Rastreabilidade de negócio.** RN-002, RN-011, RN-014, RN-035</w:t>
      </w:r>
    </w:p>
    <w:p>
      <w:r>
        <w:t/>
      </w:r>
    </w:p>
    <w:p>
      <w:r>
        <w:t>**Rastreabilidade normativa/técnica.** §§ 5.1 e 5.2; § 15.3</w:t>
      </w:r>
    </w:p>
    <w:p>
      <w:r>
        <w:t/>
      </w:r>
    </w:p>
    <w:p>
      <w:r>
        <w:t>#### RT-008 - Impedir mutação incompatível de schema ativado</w:t>
      </w:r>
    </w:p>
    <w:p>
      <w:r>
        <w:t/>
      </w:r>
    </w:p>
    <w:p>
      <w:r>
        <w:t>**Requisito técnico.** JSON Schema ativado é imutável; alteração incompatível de contrato, API ou view Serving deve produzir nova versão formal.</w:t>
      </w:r>
    </w:p>
    <w:p>
      <w:r>
        <w:t/>
      </w:r>
    </w:p>
    <w:p>
      <w:r>
        <w:t>**Critério de aceitação técnica.** Comparação entre versões evidencia evolução explícita e não reutiliza versão histórica com semântica incompatível.</w:t>
      </w:r>
    </w:p>
    <w:p>
      <w:r>
        <w:t/>
      </w:r>
    </w:p>
    <w:p>
      <w:r>
        <w:t>**Rastreabilidade de negócio.** RN-014, RN-035</w:t>
      </w:r>
    </w:p>
    <w:p>
      <w:r>
        <w:t/>
      </w:r>
    </w:p>
    <w:p>
      <w:r>
        <w:t>**Rastreabilidade normativa/técnica.** § 5.2; § 17, RNF13; § 15.4</w:t>
      </w:r>
    </w:p>
    <w:p>
      <w:r>
        <w:t/>
      </w:r>
    </w:p>
    <w:p>
      <w:r>
        <w:t>#### RT-009 - Estabilizar contratos compartilhados para trabalho paralelo</w:t>
      </w:r>
    </w:p>
    <w:p>
      <w:r>
        <w:t/>
      </w:r>
    </w:p>
    <w:p>
      <w:r>
        <w:t>**Requisito técnico.** DDL contratual, OpenAPI/DTOs, interfaces públicas, schemas e views serving.v_bi_* devem ter ownership e revisão formal quando alterados, evitando edição cruzada informal entre frentes.</w:t>
      </w:r>
    </w:p>
    <w:p>
      <w:r>
        <w:t/>
      </w:r>
    </w:p>
    <w:p>
      <w:r>
        <w:t>**Critério de aceitação técnica.** Mudança em fronteira compartilhada é rastreável por revisão/PR e comunicação aos consumidores; frentes podem evoluir em paralelo após o gate inicial.</w:t>
      </w:r>
    </w:p>
    <w:p>
      <w:r>
        <w:t/>
      </w:r>
    </w:p>
    <w:p>
      <w:r>
        <w:t>**Rastreabilidade de negócio.** RN-033, RN-034, RN-035</w:t>
      </w:r>
    </w:p>
    <w:p>
      <w:r>
        <w:t/>
      </w:r>
    </w:p>
    <w:p>
      <w:r>
        <w:t>**Rastreabilidade normativa/técnica.** §§ 18.1 e 18.2; § 17, RNF19</w:t>
      </w:r>
    </w:p>
    <w:p>
      <w:r>
        <w:t/>
      </w:r>
    </w:p>
    <w:p>
      <w:r>
        <w:t/>
      </w:r>
    </w:p>
    <w:p>
      <w:pPr>
        <w:pStyle w:val="Heading3"/>
      </w:pPr>
      <w:r>
        <w:t>5.3 Ingestão e Bronze</w:t>
      </w:r>
    </w:p>
    <w:p>
      <w:r>
        <w:t/>
      </w:r>
    </w:p>
    <w:p>
      <w:r>
        <w:t>#### RT-010 - Receber cada Entrega em envelope ZIP v2 único</w:t>
      </w:r>
    </w:p>
    <w:p>
      <w:r>
        <w:t/>
      </w:r>
    </w:p>
    <w:p>
      <w:r>
        <w:t>**Requisito técnico.** A unidade externa de ingestão deve ser um ZIP v2 contendo exatamente manifest.json, pessoas.jsonl e registros.jsonl; registros.jsonl pode estar vazio.</w:t>
      </w:r>
    </w:p>
    <w:p>
      <w:r>
        <w:t/>
      </w:r>
    </w:p>
    <w:p>
      <w:r>
        <w:t>**Critério de aceitação técnica.** O endpoint aceita entrega exclusivamente cadastral e entrega factual no mesmo envelope, validando a presença e os nomes canônicos dos três arquivos.</w:t>
      </w:r>
    </w:p>
    <w:p>
      <w:r>
        <w:t/>
      </w:r>
    </w:p>
    <w:p>
      <w:r>
        <w:t>**Rastreabilidade de negócio.** RN-002, RN-003</w:t>
      </w:r>
    </w:p>
    <w:p>
      <w:r>
        <w:t/>
      </w:r>
    </w:p>
    <w:p>
      <w:r>
        <w:t>**Rastreabilidade normativa/técnica.** § 6.1</w:t>
      </w:r>
    </w:p>
    <w:p>
      <w:r>
        <w:t/>
      </w:r>
    </w:p>
    <w:p>
      <w:r>
        <w:t>#### RT-011 - Garantir cobertura mínima de Pessoas referenciadas pela Entrega</w:t>
      </w:r>
    </w:p>
    <w:p>
      <w:r>
        <w:t/>
      </w:r>
    </w:p>
    <w:p>
      <w:r>
        <w:t>**Requisito técnico.** pessoas.jsonl deve conter as Pessoas incluídas/alteradas no período e todas as Pessoas referenciadas pelos fatos da mesma Entrega.</w:t>
      </w:r>
    </w:p>
    <w:p>
      <w:r>
        <w:t/>
      </w:r>
    </w:p>
    <w:p>
      <w:r>
        <w:t>**Critério de aceitação técnica.** Nenhum Registro factual aceito referencia uma Pessoa ausente do contexto mínimo exigido pelo contrato da Entrega.</w:t>
      </w:r>
    </w:p>
    <w:p>
      <w:r>
        <w:t/>
      </w:r>
    </w:p>
    <w:p>
      <w:r>
        <w:t>**Rastreabilidade de negócio.** RN-002, RN-003, RN-012</w:t>
      </w:r>
    </w:p>
    <w:p>
      <w:r>
        <w:t/>
      </w:r>
    </w:p>
    <w:p>
      <w:r>
        <w:t>**Rastreabilidade normativa/técnica.** § 6.1</w:t>
      </w:r>
    </w:p>
    <w:p>
      <w:r>
        <w:t/>
      </w:r>
    </w:p>
    <w:p>
      <w:r>
        <w:t>#### RT-012 - Aplicar limites físicos e proteção contra ZIP bomb</w:t>
      </w:r>
    </w:p>
    <w:p>
      <w:r>
        <w:t/>
      </w:r>
    </w:p>
    <w:p>
      <w:r>
        <w:t>**Requisito técnico.** A implementação de referência deve impor limites de até 250 MB compactados, 2 GB descompactados e 64 KB para manifest.json, com orçamento descompactado aplicado durante a leitura.</w:t>
      </w:r>
    </w:p>
    <w:p>
      <w:r>
        <w:t/>
      </w:r>
    </w:p>
    <w:p>
      <w:r>
        <w:t>**Critério de aceitação técnica.** Pacote que excede limites é rejeitado sem descompressão ilimitada nem alocação descontrolada.</w:t>
      </w:r>
    </w:p>
    <w:p>
      <w:r>
        <w:t/>
      </w:r>
    </w:p>
    <w:p>
      <w:r>
        <w:t>**Rastreabilidade de negócio.** RN-023, RN-030</w:t>
      </w:r>
    </w:p>
    <w:p>
      <w:r>
        <w:t/>
      </w:r>
    </w:p>
    <w:p>
      <w:r>
        <w:t>**Rastreabilidade normativa/técnica.** § 6.1; § 17, RNF03; limites da implementação de referência</w:t>
      </w:r>
    </w:p>
    <w:p>
      <w:r>
        <w:t/>
      </w:r>
    </w:p>
    <w:p>
      <w:r>
        <w:t>#### RT-013 - Autenticar e autorizar a Entrega antes do processamento pesado</w:t>
      </w:r>
    </w:p>
    <w:p>
      <w:r>
        <w:t/>
      </w:r>
    </w:p>
    <w:p>
      <w:r>
        <w:t>**Requisito técnico.** POST /api/v1/ingestao/entregas deve exigir Código do Gestor, chave de acesso, Idempotency-Key e contexto contratual coerente com o Gestor autenticado.</w:t>
      </w:r>
    </w:p>
    <w:p>
      <w:r>
        <w:t/>
      </w:r>
    </w:p>
    <w:p>
      <w:r>
        <w:t>**Critério de aceitação técnica.** Tipo/Sistema de Origem não pertencente ao Gestor é recusado antes da validação pesada e antes da materialização funcional.</w:t>
      </w:r>
    </w:p>
    <w:p>
      <w:r>
        <w:t/>
      </w:r>
    </w:p>
    <w:p>
      <w:r>
        <w:t>**Rastreabilidade de negócio.** RN-002, RN-029, RN-034</w:t>
      </w:r>
    </w:p>
    <w:p>
      <w:r>
        <w:t/>
      </w:r>
    </w:p>
    <w:p>
      <w:r>
        <w:t>**Rastreabilidade normativa/técnica.** §§ 6.2 e 6.3; § 13</w:t>
      </w:r>
    </w:p>
    <w:p>
      <w:r>
        <w:t/>
      </w:r>
    </w:p>
    <w:p>
      <w:r>
        <w:t>#### RT-014 - Validar integridade do payload por SHA-256 e nome canônico</w:t>
      </w:r>
    </w:p>
    <w:p>
      <w:r>
        <w:t/>
      </w:r>
    </w:p>
    <w:p>
      <w:r>
        <w:t>**Requisito técnico.** A API deve calcular o SHA-256 dos bytes recebidos e exigir correspondência com o hash do filename canônico ENTREGA_&lt;GESTOR&gt;_&lt;SISTEMA_ORIGEM&gt;_v2_&lt;sha256&gt;.zip.</w:t>
      </w:r>
    </w:p>
    <w:p>
      <w:r>
        <w:t/>
      </w:r>
    </w:p>
    <w:p>
      <w:r>
        <w:t>**Critério de aceitação técnica.** Divergência entre nome e conteúdo rejeita a chamada antes da recepção; a resposta não ecoa indevidamente o hash calculado.</w:t>
      </w:r>
    </w:p>
    <w:p>
      <w:r>
        <w:t/>
      </w:r>
    </w:p>
    <w:p>
      <w:r>
        <w:t>**Rastreabilidade de negócio.** RN-003, RN-023, RN-029</w:t>
      </w:r>
    </w:p>
    <w:p>
      <w:r>
        <w:t/>
      </w:r>
    </w:p>
    <w:p>
      <w:r>
        <w:t>**Rastreabilidade normativa/técnica.** §§ 6.2 e 6.3</w:t>
      </w:r>
    </w:p>
    <w:p>
      <w:r>
        <w:t/>
      </w:r>
    </w:p>
    <w:p>
      <w:r>
        <w:t>#### RT-015 - Garantir idempotência por Gestor e Idempotency-Key</w:t>
      </w:r>
    </w:p>
    <w:p>
      <w:r>
        <w:t/>
      </w:r>
    </w:p>
    <w:p>
      <w:r>
        <w:t>**Requisito técnico.** Mesma Idempotency-Key com mesmo conteúdo deve devolver o recebimento existente sem duplicar processamento; mesma chave com conteúdo diferente deve retornar conflito e gerar auditoria.</w:t>
      </w:r>
    </w:p>
    <w:p>
      <w:r>
        <w:t/>
      </w:r>
    </w:p>
    <w:p>
      <w:r>
        <w:t>**Critério de aceitação técnica.** Testes comprovam replay idêntico sem duplicação e conflito 409 para reutilização divergente da chave.</w:t>
      </w:r>
    </w:p>
    <w:p>
      <w:r>
        <w:t/>
      </w:r>
    </w:p>
    <w:p>
      <w:r>
        <w:t>**Rastreabilidade de negócio.** RN-003, RN-023, RN-029</w:t>
      </w:r>
    </w:p>
    <w:p>
      <w:r>
        <w:t/>
      </w:r>
    </w:p>
    <w:p>
      <w:r>
        <w:t>**Rastreabilidade normativa/técnica.** § 6.3; § 17, RNF04</w:t>
      </w:r>
    </w:p>
    <w:p>
      <w:r>
        <w:t/>
      </w:r>
    </w:p>
    <w:p>
      <w:r>
        <w:t>#### RT-016 - Persistir Bronze fora do SQL por chave content-addressed</w:t>
      </w:r>
    </w:p>
    <w:p>
      <w:r>
        <w:t/>
      </w:r>
    </w:p>
    <w:p>
      <w:r>
        <w:t>**Requisito técnico.** Os bytes do ZIP Bronze devem residir em armazenamento externo durável, imutável e content-addressed por SHA-256; SQL Server persiste somente metadados e objeto_chave, sem VARBINARY(MAX).</w:t>
      </w:r>
    </w:p>
    <w:p>
      <w:r>
        <w:t/>
      </w:r>
    </w:p>
    <w:p>
      <w:r>
        <w:t>**Critério de aceitação técnica.** Objeto é escrito antes da linha SQL, permanece na chave sha256/ab/cd/&lt;hash&gt;.zip e pode ser recuperado enquanto existir referência válida.</w:t>
      </w:r>
    </w:p>
    <w:p>
      <w:r>
        <w:t/>
      </w:r>
    </w:p>
    <w:p>
      <w:r>
        <w:t>**Rastreabilidade de negócio.** RN-003, RN-029, RN-030, RN-031</w:t>
      </w:r>
    </w:p>
    <w:p>
      <w:r>
        <w:t/>
      </w:r>
    </w:p>
    <w:p>
      <w:r>
        <w:t>**Rastreabilidade normativa/técnica.** § 6.4; § 17, RNF32</w:t>
      </w:r>
    </w:p>
    <w:p>
      <w:r>
        <w:t/>
      </w:r>
    </w:p>
    <w:p>
      <w:r>
        <w:t>#### RT-017 - Falhar fechado em corrupção ou indisponibilidade da Bronze</w:t>
      </w:r>
    </w:p>
    <w:p>
      <w:r>
        <w:t/>
      </w:r>
    </w:p>
    <w:p>
      <w:r>
        <w:t>**Requisito técnico.** Objeto canônico já existente deve ser revalidado por SHA-256; corrupção ou falha temporária de armazenamento deve ser tratada como falha de infraestrutura, sem aceitar silenciosamente conteúdo divergente.</w:t>
      </w:r>
    </w:p>
    <w:p>
      <w:r>
        <w:t/>
      </w:r>
    </w:p>
    <w:p>
      <w:r>
        <w:t>**Critério de aceitação técnica.** Recepção retorna 503 + Retry-After quando aplicável; GC/expurgo físico só ocorre após confirmação coordenada de ausência de referências e carência.</w:t>
      </w:r>
    </w:p>
    <w:p>
      <w:r>
        <w:t/>
      </w:r>
    </w:p>
    <w:p>
      <w:r>
        <w:t>**Rastreabilidade de negócio.** RN-003, RN-023, RN-029, RN-031</w:t>
      </w:r>
    </w:p>
    <w:p>
      <w:r>
        <w:t/>
      </w:r>
    </w:p>
    <w:p>
      <w:r>
        <w:t>**Rastreabilidade normativa/técnica.** § 6.4; § 17, RNF33</w:t>
      </w:r>
    </w:p>
    <w:p>
      <w:r>
        <w:t/>
      </w:r>
    </w:p>
    <w:p>
      <w:r>
        <w:t/>
      </w:r>
    </w:p>
    <w:p>
      <w:pPr>
        <w:pStyle w:val="Heading3"/>
      </w:pPr>
      <w:r>
        <w:t>5.4 Processor e resiliência</w:t>
      </w:r>
    </w:p>
    <w:p>
      <w:r>
        <w:t/>
      </w:r>
    </w:p>
    <w:p>
      <w:r>
        <w:t>#### RT-018 - Executar processamento pesado de forma assíncrona ao depósito</w:t>
      </w:r>
    </w:p>
    <w:p>
      <w:r>
        <w:t/>
      </w:r>
    </w:p>
    <w:p>
      <w:r>
        <w:t>**Requisito técnico.** A API deve realizar apenas validações de borda e persistência da Entrega; parsing completo, validação estrutural e materialização Silver/Gold devem ocorrer no Jornada.Processor.Worker.</w:t>
      </w:r>
    </w:p>
    <w:p>
      <w:r>
        <w:t/>
      </w:r>
    </w:p>
    <w:p>
      <w:r>
        <w:t>**Critério de aceitação técnica.** POST de ingestão retorna 202 após recepção válida e o processamento pesado pode prosseguir independentemente da conexão do cliente.</w:t>
      </w:r>
    </w:p>
    <w:p>
      <w:r>
        <w:t/>
      </w:r>
    </w:p>
    <w:p>
      <w:r>
        <w:t>**Rastreabilidade de negócio.** RN-002, RN-023, RN-035</w:t>
      </w:r>
    </w:p>
    <w:p>
      <w:r>
        <w:t/>
      </w:r>
    </w:p>
    <w:p>
      <w:r>
        <w:t>**Rastreabilidade normativa/técnica.** § 6.2; § 6.6</w:t>
      </w:r>
    </w:p>
    <w:p>
      <w:r>
        <w:t/>
      </w:r>
    </w:p>
    <w:p>
      <w:r>
        <w:t>#### RT-019 - Registrar resultado individual de Pessoas e Registros processados</w:t>
      </w:r>
    </w:p>
    <w:p>
      <w:r>
        <w:t/>
      </w:r>
    </w:p>
    <w:p>
      <w:r>
        <w:t>**Requisito técnico.** Cada item processado deve gerar ocorrência de resultado individual em ingestao.item_processado, distinguindo inclusão, versionamento, retransmissão, exclusão e reabertura.</w:t>
      </w:r>
    </w:p>
    <w:p>
      <w:r>
        <w:t/>
      </w:r>
    </w:p>
    <w:p>
      <w:r>
        <w:t>**Critério de aceitação técnica.** A observabilidade permite identificar retransmissão idêntica sem criar nova observação Silver e medir resultado por classe de item.</w:t>
      </w:r>
    </w:p>
    <w:p>
      <w:r>
        <w:t/>
      </w:r>
    </w:p>
    <w:p>
      <w:r>
        <w:t>**Rastreabilidade de negócio.** RN-003, RN-023, RN-024</w:t>
      </w:r>
    </w:p>
    <w:p>
      <w:r>
        <w:t/>
      </w:r>
    </w:p>
    <w:p>
      <w:r>
        <w:t>**Rastreabilidade normativa/técnica.** § 6.3</w:t>
      </w:r>
    </w:p>
    <w:p>
      <w:r>
        <w:t/>
      </w:r>
    </w:p>
    <w:p>
      <w:r>
        <w:t>#### RT-020 - Manter persistência funcional transacional e atômica por lote</w:t>
      </w:r>
    </w:p>
    <w:p>
      <w:r>
        <w:t/>
      </w:r>
    </w:p>
    <w:p>
      <w:r>
        <w:t>**Requisito técnico.** Materializações Silver, identidade, Gold e estados associados de um lote devem respeitar transação e rollback; falha intermediária não pode deixar publicação funcional parcial.</w:t>
      </w:r>
    </w:p>
    <w:p>
      <w:r>
        <w:t/>
      </w:r>
    </w:p>
    <w:p>
      <w:r>
        <w:t>**Critério de aceitação técnica.** Fault injection após persistência parcial resulta em zero efeitos do cenário que deveria ter sido revertido.</w:t>
      </w:r>
    </w:p>
    <w:p>
      <w:r>
        <w:t/>
      </w:r>
    </w:p>
    <w:p>
      <w:r>
        <w:t>**Rastreabilidade de negócio.** RN-003, RN-012, RN-023, RN-029</w:t>
      </w:r>
    </w:p>
    <w:p>
      <w:r>
        <w:t/>
      </w:r>
    </w:p>
    <w:p>
      <w:r>
        <w:t>**Rastreabilidade normativa/técnica.** §§ 6.5 a 6.7; § 17, RNF06</w:t>
      </w:r>
    </w:p>
    <w:p>
      <w:r>
        <w:t/>
      </w:r>
    </w:p>
    <w:p>
      <w:r>
        <w:t>#### RT-021 - Suportar lease, fencing, heartbeat, retry e estado POISON</w:t>
      </w:r>
    </w:p>
    <w:p>
      <w:r>
        <w:t/>
      </w:r>
    </w:p>
    <w:p>
      <w:r>
        <w:t>**Requisito técnico.** O Processor deve reservar trabalho com lease/fencing token, renovar heartbeat, recuperar leases expirados, aplicar retry com backoff e encerrar em POISON após limite de tentativas.</w:t>
      </w:r>
    </w:p>
    <w:p>
      <w:r>
        <w:t/>
      </w:r>
    </w:p>
    <w:p>
      <w:r>
        <w:t>**Critério de aceitação técnica.** Workers concorrentes não processam o mesmo lote válido simultaneamente; lease expirado é cercado e não pode persistir após nova reserva.</w:t>
      </w:r>
    </w:p>
    <w:p>
      <w:r>
        <w:t/>
      </w:r>
    </w:p>
    <w:p>
      <w:r>
        <w:t>**Rastreabilidade de negócio.** RN-023, RN-029, RN-035</w:t>
      </w:r>
    </w:p>
    <w:p>
      <w:r>
        <w:t/>
      </w:r>
    </w:p>
    <w:p>
      <w:r>
        <w:t>**Rastreabilidade normativa/técnica.** § 16.3; atualização v3.33</w:t>
      </w:r>
    </w:p>
    <w:p>
      <w:r>
        <w:t/>
      </w:r>
    </w:p>
    <w:p>
      <w:r>
        <w:t>#### RT-022 - Serializar mutações do corpus integrado nos jobs críticos</w:t>
      </w:r>
    </w:p>
    <w:p>
      <w:r>
        <w:t/>
      </w:r>
    </w:p>
    <w:p>
      <w:r>
        <w:t>**Requisito técnico.** Processor, Parameters GENERATE_DRAFT e Linkage Runner devem respeitar gate serial de corpus com locks/leases explícitos, permitindo recepção API/Bronze enquanto a materialização integrada está congelada.</w:t>
      </w:r>
    </w:p>
    <w:p>
      <w:r>
        <w:t/>
      </w:r>
    </w:p>
    <w:p>
      <w:r>
        <w:t>**Critério de aceitação técnica.** Jobs analíticos não observam corpus parcialmente mutável; intenção exclusiva evita starvation e possui timeouts finitos.</w:t>
      </w:r>
    </w:p>
    <w:p>
      <w:r>
        <w:t/>
      </w:r>
    </w:p>
    <w:p>
      <w:r>
        <w:t>**Rastreabilidade de negócio.** RN-023, RN-024, RN-028</w:t>
      </w:r>
    </w:p>
    <w:p>
      <w:r>
        <w:t/>
      </w:r>
    </w:p>
    <w:p>
      <w:r>
        <w:t>**Rastreabilidade normativa/técnica.** § 17, RNF26 e RNF28; atualizações v3.35/v3.36</w:t>
      </w:r>
    </w:p>
    <w:p>
      <w:r>
        <w:t/>
      </w:r>
    </w:p>
    <w:p>
      <w:r>
        <w:t/>
      </w:r>
    </w:p>
    <w:p>
      <w:pPr>
        <w:pStyle w:val="Heading3"/>
      </w:pPr>
      <w:r>
        <w:t>5.5 Identidade</w:t>
      </w:r>
    </w:p>
    <w:p>
      <w:r>
        <w:t/>
      </w:r>
    </w:p>
    <w:p>
      <w:r>
        <w:t>#### RT-023 - Usar PESSOA_UUID aleatório e independente do CPF</w:t>
      </w:r>
    </w:p>
    <w:p>
      <w:r>
        <w:t/>
      </w:r>
    </w:p>
    <w:p>
      <w:r>
        <w:t>**Requisito técnico.** O identificador canônico interno deve ser UNIQUEIDENTIFIER aleatório, sem derivação criptográfica ou determinística do CPF.</w:t>
      </w:r>
    </w:p>
    <w:p>
      <w:r>
        <w:t/>
      </w:r>
    </w:p>
    <w:p>
      <w:r>
        <w:t>**Critério de aceitação técnica.** Alteração/correção de CPF ou atributos não exige troca do UUID já canônico, salvo operações governadas de fusão/separação.</w:t>
      </w:r>
    </w:p>
    <w:p>
      <w:r>
        <w:t/>
      </w:r>
    </w:p>
    <w:p>
      <w:r>
        <w:t>**Rastreabilidade de negócio.** RN-005, RN-006, RN-030</w:t>
      </w:r>
    </w:p>
    <w:p>
      <w:r>
        <w:t/>
      </w:r>
    </w:p>
    <w:p>
      <w:r>
        <w:t>**Rastreabilidade normativa/técnica.** § 7.2; § 17, RNF05</w:t>
      </w:r>
    </w:p>
    <w:p>
      <w:r>
        <w:t/>
      </w:r>
    </w:p>
    <w:p>
      <w:r>
        <w:t>#### RT-024 - Resolver CPF válido pela rota determinística com trava de consistência</w:t>
      </w:r>
    </w:p>
    <w:p>
      <w:r>
        <w:t/>
      </w:r>
    </w:p>
    <w:p>
      <w:r>
        <w:t>**Requisito técnico.** CPF válido deve ser a rota normal de resolução, mas a associação a identity_map existente deve falhar fechada quando o núcleo cadastral indicar divergência forte.</w:t>
      </w:r>
    </w:p>
    <w:p>
      <w:r>
        <w:t/>
      </w:r>
    </w:p>
    <w:p>
      <w:r>
        <w:t>**Critério de aceitação técnica.** Conflito não produz atribuição canônica automática e é materializado para governança.</w:t>
      </w:r>
    </w:p>
    <w:p>
      <w:r>
        <w:t/>
      </w:r>
    </w:p>
    <w:p>
      <w:r>
        <w:t>**Rastreabilidade de negócio.** RN-005, RN-006, RN-023</w:t>
      </w:r>
    </w:p>
    <w:p>
      <w:r>
        <w:t/>
      </w:r>
    </w:p>
    <w:p>
      <w:r>
        <w:t>**Rastreabilidade normativa/técnica.** §§ 7.3 a 7.5; atualizações v3.42/v3.46</w:t>
      </w:r>
    </w:p>
    <w:p>
      <w:r>
        <w:t/>
      </w:r>
    </w:p>
    <w:p>
      <w:r>
        <w:t>#### RT-025 - Preservar Pessoas sem CPF em estado processável</w:t>
      </w:r>
    </w:p>
    <w:p>
      <w:r>
        <w:t/>
      </w:r>
    </w:p>
    <w:p>
      <w:r>
        <w:t>**Requisito técnico.** Quando o contrato admitir CPF ausente, a Pessoa deve permanecer em Silver e em estado de identidade pendente/nao resolvido, sem descarte por ausência do documento.</w:t>
      </w:r>
    </w:p>
    <w:p>
      <w:r>
        <w:t/>
      </w:r>
    </w:p>
    <w:p>
      <w:r>
        <w:t>**Critério de aceitação técnica.** Registro sem CPF admitido pode ser reavaliado posteriormente pelo linkage probabilístico.</w:t>
      </w:r>
    </w:p>
    <w:p>
      <w:r>
        <w:t/>
      </w:r>
    </w:p>
    <w:p>
      <w:r>
        <w:t>**Rastreabilidade de negócio.** RN-007, RN-024</w:t>
      </w:r>
    </w:p>
    <w:p>
      <w:r>
        <w:t/>
      </w:r>
    </w:p>
    <w:p>
      <w:r>
        <w:t>**Rastreabilidade normativa/técnica.** §§ 7.5, 7.9 e 7.13</w:t>
      </w:r>
    </w:p>
    <w:p>
      <w:r>
        <w:t/>
      </w:r>
    </w:p>
    <w:p>
      <w:r>
        <w:t>#### RT-026 - Executar linkage probabilístico em Runner independente e run-once</w:t>
      </w:r>
    </w:p>
    <w:p>
      <w:r>
        <w:t/>
      </w:r>
    </w:p>
    <w:p>
      <w:r>
        <w:t>**Requisito técnico.** O fallback probabilístico deve ser executado pelo Jornada.Linkage.Runner, independente do Processor, schedulável externamente e parametrizado por modo, escopo, batch e paralelismo.</w:t>
      </w:r>
    </w:p>
    <w:p>
      <w:r>
        <w:t/>
      </w:r>
    </w:p>
    <w:p>
      <w:r>
        <w:t>**Critério de aceitação técnica.** O Processor determinístico continua operando quando o Runner/Parameters estiver indisponível; registros sem CPF permanecem pendentes.</w:t>
      </w:r>
    </w:p>
    <w:p>
      <w:r>
        <w:t/>
      </w:r>
    </w:p>
    <w:p>
      <w:r>
        <w:t>**Rastreabilidade de negócio.** RN-006, RN-007, RN-023, RN-028</w:t>
      </w:r>
    </w:p>
    <w:p>
      <w:r>
        <w:t/>
      </w:r>
    </w:p>
    <w:p>
      <w:r>
        <w:t>**Rastreabilidade normativa/técnica.** §§ 7.5 a 7.7; § 16.5; § 17, RNF23</w:t>
      </w:r>
    </w:p>
    <w:p>
      <w:r>
        <w:t/>
      </w:r>
    </w:p>
    <w:p>
      <w:r>
        <w:t>#### RT-027 - Congelar modelo e universo de cada linkage_run</w:t>
      </w:r>
    </w:p>
    <w:p>
      <w:r>
        <w:t/>
      </w:r>
    </w:p>
    <w:p>
      <w:r>
        <w:t>**Requisito técnico.** Cada linkage_run deve capturar uma única versão imutável do modelo antes do primeiro score e materializar o universo exato do run, sem misturar modelo_id/modelo_versao.</w:t>
      </w:r>
    </w:p>
    <w:p>
      <w:r>
        <w:t/>
      </w:r>
    </w:p>
    <w:p>
      <w:r>
        <w:t>**Critério de aceitação técnica.** Resultados históricos são append-only e só runs PUBLICADOS alimentam a visão corrente.</w:t>
      </w:r>
    </w:p>
    <w:p>
      <w:r>
        <w:t/>
      </w:r>
    </w:p>
    <w:p>
      <w:r>
        <w:t>**Rastreabilidade de negócio.** RN-003, RN-005, RN-024, RN-029</w:t>
      </w:r>
    </w:p>
    <w:p>
      <w:r>
        <w:t/>
      </w:r>
    </w:p>
    <w:p>
      <w:r>
        <w:t>**Rastreabilidade normativa/técnica.** §§ 7.6 e 7.6.1; § 17, RNF21, RNF22 e RNF24</w:t>
      </w:r>
    </w:p>
    <w:p>
      <w:r>
        <w:t/>
      </w:r>
    </w:p>
    <w:p>
      <w:r>
        <w:t>#### RT-028 - Aplicar blocking e limites sem truncamento silencioso</w:t>
      </w:r>
    </w:p>
    <w:p>
      <w:r>
        <w:t/>
      </w:r>
    </w:p>
    <w:p>
      <w:r>
        <w:t>**Requisito técnico.** O linkage deve usar blocking definido, incluindo data de nascimento exata no baseline, e não pode truncar silenciosamente blocos de candidatos que excedam limite operacional.</w:t>
      </w:r>
    </w:p>
    <w:p>
      <w:r>
        <w:t/>
      </w:r>
    </w:p>
    <w:p>
      <w:r>
        <w:t>**Critério de aceitação técnica.** Bloco acima do limite falha o run e exige revisão explícita da configuração; ausência de candidato é observável.</w:t>
      </w:r>
    </w:p>
    <w:p>
      <w:r>
        <w:t/>
      </w:r>
    </w:p>
    <w:p>
      <w:r>
        <w:t>**Rastreabilidade de negócio.** RN-006, RN-024</w:t>
      </w:r>
    </w:p>
    <w:p>
      <w:r>
        <w:t/>
      </w:r>
    </w:p>
    <w:p>
      <w:r>
        <w:t>**Rastreabilidade normativa/técnica.** §§ 7.4 a 7.7; § 17, RNF25</w:t>
      </w:r>
    </w:p>
    <w:p>
      <w:r>
        <w:t/>
      </w:r>
    </w:p>
    <w:p>
      <w:r>
        <w:t>#### RT-029 - Versionar e ativar parâmetros probabilísticos por transição auditável</w:t>
      </w:r>
    </w:p>
    <w:p>
      <w:r>
        <w:t/>
      </w:r>
    </w:p>
    <w:p>
      <w:r>
        <w:t>**Requisito técnico.** Parâmetros de linkage devem possuir ciclo de geração/validação/ativação versionado; um modelo novo só substitui o ativo por transição explícita e auditável.</w:t>
      </w:r>
    </w:p>
    <w:p>
      <w:r>
        <w:t/>
      </w:r>
    </w:p>
    <w:p>
      <w:r>
        <w:t>**Critério de aceitação técnica.** Modelo em RASCUNHO/VALIDAÇÃO não passa a ativo por overwrite; replay referencia modelo/versão original.</w:t>
      </w:r>
    </w:p>
    <w:p>
      <w:r>
        <w:t/>
      </w:r>
    </w:p>
    <w:p>
      <w:r>
        <w:t>**Rastreabilidade de negócio.** RN-014, RN-024, RN-029</w:t>
      </w:r>
    </w:p>
    <w:p>
      <w:r>
        <w:t/>
      </w:r>
    </w:p>
    <w:p>
      <w:r>
        <w:t>**Rastreabilidade normativa/técnica.** § 7.6.1; § 17, RNF16</w:t>
      </w:r>
    </w:p>
    <w:p>
      <w:r>
        <w:t/>
      </w:r>
    </w:p>
    <w:p>
      <w:r>
        <w:t>#### RT-030 - Governar fusão e separação histórica de identidades</w:t>
      </w:r>
    </w:p>
    <w:p>
      <w:r>
        <w:t/>
      </w:r>
    </w:p>
    <w:p>
      <w:r>
        <w:t>**Requisito técnico.** Fusão/separação de UUIDs deve ocorrer apenas por operação governada, com preflight de consistência, sucessor canônico quando aplicável e migração auditável de identificadores ativos.</w:t>
      </w:r>
    </w:p>
    <w:p>
      <w:r>
        <w:t/>
      </w:r>
    </w:p>
    <w:p>
      <w:r>
        <w:t>**Critério de aceitação técnica.** Fusão 1→N, cadeia inválida/cíclica, CPF divergente ou absorção parcial são recusadas por erro contratual antes de mutações.</w:t>
      </w:r>
    </w:p>
    <w:p>
      <w:r>
        <w:t/>
      </w:r>
    </w:p>
    <w:p>
      <w:r>
        <w:t>**Rastreabilidade de negócio.** RN-005, RN-029</w:t>
      </w:r>
    </w:p>
    <w:p>
      <w:r>
        <w:t/>
      </w:r>
    </w:p>
    <w:p>
      <w:r>
        <w:t>**Rastreabilidade normativa/técnica.** § 7.12; atualizações v3.58-v3.60</w:t>
      </w:r>
    </w:p>
    <w:p>
      <w:r>
        <w:t/>
      </w:r>
    </w:p>
    <w:p>
      <w:r>
        <w:t/>
      </w:r>
    </w:p>
    <w:p>
      <w:pPr>
        <w:pStyle w:val="Heading3"/>
      </w:pPr>
      <w:r>
        <w:t>5.6 Gold, evidência e fatos</w:t>
      </w:r>
    </w:p>
    <w:p>
      <w:r>
        <w:t/>
      </w:r>
    </w:p>
    <w:p>
      <w:r>
        <w:t>#### RT-031 - Separar fisicamente Gold Pessoas de Gold Registros</w:t>
      </w:r>
    </w:p>
    <w:p>
      <w:r>
        <w:t/>
      </w:r>
    </w:p>
    <w:p>
      <w:r>
        <w:t>**Requisito técnico.** A Camada Ouro deve manter famílias canônicas distintas para identidade/atributos cadastrais e para histórico factual de Benefícios Concedidos e Serviços Prestados.</w:t>
      </w:r>
    </w:p>
    <w:p>
      <w:r>
        <w:t/>
      </w:r>
    </w:p>
    <w:p>
      <w:r>
        <w:t>**Critério de aceitação técnica.** Fatos não são armazenados como atributos cadastrais e consultas distinguem Pessoa de Registro.</w:t>
      </w:r>
    </w:p>
    <w:p>
      <w:r>
        <w:t/>
      </w:r>
    </w:p>
    <w:p>
      <w:r>
        <w:t>**Rastreabilidade de negócio.** RN-011, RN-013</w:t>
      </w:r>
    </w:p>
    <w:p>
      <w:r>
        <w:t/>
      </w:r>
    </w:p>
    <w:p>
      <w:r>
        <w:t>**Rastreabilidade normativa/técnica.** § 8; § 17, RNF14</w:t>
      </w:r>
    </w:p>
    <w:p>
      <w:r>
        <w:t/>
      </w:r>
    </w:p>
    <w:p>
      <w:r>
        <w:t>#### RT-032 - Permitir bootstrap evolutivo da Gold Pessoas</w:t>
      </w:r>
    </w:p>
    <w:p>
      <w:r>
        <w:t/>
      </w:r>
    </w:p>
    <w:p>
      <w:r>
        <w:t>**Requisito técnico.** A primeira observação elegível de uma Pessoa, com individualização suficiente, deve poder constituir baseline Golden sem segunda fonte ou modelo probabilístico prévio.</w:t>
      </w:r>
    </w:p>
    <w:p>
      <w:r>
        <w:t/>
      </w:r>
    </w:p>
    <w:p>
      <w:r>
        <w:t>**Critério de aceitação técnica.** BASELINE_FONTE_UNICA é estado Golden válido e pode ser posteriormente corroborado/corrigido por evidência superior.</w:t>
      </w:r>
    </w:p>
    <w:p>
      <w:r>
        <w:t/>
      </w:r>
    </w:p>
    <w:p>
      <w:r>
        <w:t>**Rastreabilidade de negócio.** RN-004, RN-009, RN-028</w:t>
      </w:r>
    </w:p>
    <w:p>
      <w:r>
        <w:t/>
      </w:r>
    </w:p>
    <w:p>
      <w:r>
        <w:t>**Rastreabilidade normativa/técnica.** §§ 8.1, 8.9 e 8.11</w:t>
      </w:r>
    </w:p>
    <w:p>
      <w:r>
        <w:t/>
      </w:r>
    </w:p>
    <w:p>
      <w:r>
        <w:t>#### RT-033 - Preservar fato válido mesmo sem PESSOA_UUID canônico</w:t>
      </w:r>
    </w:p>
    <w:p>
      <w:r>
        <w:t/>
      </w:r>
    </w:p>
    <w:p>
      <w:r>
        <w:t>**Requisito técnico.** Gold Registros deve aceitar fato finalístico válido com PESSOA_UUID ausente quando a identidade estiver pendente/conflitante, preservando o identificador declarado pela origem.</w:t>
      </w:r>
    </w:p>
    <w:p>
      <w:r>
        <w:t/>
      </w:r>
    </w:p>
    <w:p>
      <w:r>
        <w:t>**Critério de aceitação técnica.** O fato permanece consultável/auditável sem forçar atribuição canônica indevida.</w:t>
      </w:r>
    </w:p>
    <w:p>
      <w:r>
        <w:t/>
      </w:r>
    </w:p>
    <w:p>
      <w:r>
        <w:t>**Rastreabilidade de negócio.** RN-012, RN-023</w:t>
      </w:r>
    </w:p>
    <w:p>
      <w:r>
        <w:t/>
      </w:r>
    </w:p>
    <w:p>
      <w:r>
        <w:t>**Rastreabilidade normativa/técnica.** § 8.8; atualização normativa v3.45</w:t>
      </w:r>
    </w:p>
    <w:p>
      <w:r>
        <w:t/>
      </w:r>
    </w:p>
    <w:p>
      <w:r>
        <w:t>#### RT-034 - Aplicar precedência de evidência por catálogo e temporalidade</w:t>
      </w:r>
    </w:p>
    <w:p>
      <w:r>
        <w:t/>
      </w:r>
    </w:p>
    <w:p>
      <w:r>
        <w:t>**Requisito técnico.** A seleção Golden de atributos transversais deve considerar evidência comprovada, pertinência, temporalidade, provenance e corroboração, sem precedência automática por Secretaria/Gestor.</w:t>
      </w:r>
    </w:p>
    <w:p>
      <w:r>
        <w:t/>
      </w:r>
    </w:p>
    <w:p>
      <w:r>
        <w:t>**Critério de aceitação técnica.** Evidência documental válida pode substituir valor Golden e toda alteração mantém histórico/proveniência.</w:t>
      </w:r>
    </w:p>
    <w:p>
      <w:r>
        <w:t/>
      </w:r>
    </w:p>
    <w:p>
      <w:r>
        <w:t>**Rastreabilidade de negócio.** RN-008, RN-009, RN-010, RN-029</w:t>
      </w:r>
    </w:p>
    <w:p>
      <w:r>
        <w:t/>
      </w:r>
    </w:p>
    <w:p>
      <w:r>
        <w:t>**Rastreabilidade normativa/técnica.** §§ 8.3 a 8.7; § 15.5</w:t>
      </w:r>
    </w:p>
    <w:p>
      <w:r>
        <w:t/>
      </w:r>
    </w:p>
    <w:p>
      <w:r>
        <w:t/>
      </w:r>
    </w:p>
    <w:p>
      <w:pPr>
        <w:pStyle w:val="Heading3"/>
      </w:pPr>
      <w:r>
        <w:t>5.7 API e acesso</w:t>
      </w:r>
    </w:p>
    <w:p>
      <w:r>
        <w:t/>
      </w:r>
    </w:p>
    <w:p>
      <w:r>
        <w:t>#### RT-035 - Autorizar antes da leitura funcional</w:t>
      </w:r>
    </w:p>
    <w:p>
      <w:r>
        <w:t/>
      </w:r>
    </w:p>
    <w:p>
      <w:r>
        <w:t>**Requisito técnico.** Endpoints de identidade, Pessoa, Registros e Possibilidades devem autorizar por credencial autenticada, scope e recurso antes de executar a leitura funcional.</w:t>
      </w:r>
    </w:p>
    <w:p>
      <w:r>
        <w:t/>
      </w:r>
    </w:p>
    <w:p>
      <w:r>
        <w:t>**Critério de aceitação técnica.** Credencial sem autorização recebe 401/403 sem leitura de dados; autorização não depende de vínculo prévio da Pessoa com a credencial.</w:t>
      </w:r>
    </w:p>
    <w:p>
      <w:r>
        <w:t/>
      </w:r>
    </w:p>
    <w:p>
      <w:r>
        <w:t>**Rastreabilidade de negócio.** RN-018, RN-019, RN-020, RN-029</w:t>
      </w:r>
    </w:p>
    <w:p>
      <w:r>
        <w:t/>
      </w:r>
    </w:p>
    <w:p>
      <w:r>
        <w:t>**Rastreabilidade normativa/técnica.** § 10.6; § 17, RNF29</w:t>
      </w:r>
    </w:p>
    <w:p>
      <w:r>
        <w:t/>
      </w:r>
    </w:p>
    <w:p>
      <w:r>
        <w:t>#### RT-036 - Não criar UUID por consulta de resolução</w:t>
      </w:r>
    </w:p>
    <w:p>
      <w:r>
        <w:t/>
      </w:r>
    </w:p>
    <w:p>
      <w:r>
        <w:t>**Requisito técnico.** A API de resolução deve consultar identidade existente; operações de consulta não podem criar automaticamente nova Pessoa/UUID.</w:t>
      </w:r>
    </w:p>
    <w:p>
      <w:r>
        <w:t/>
      </w:r>
    </w:p>
    <w:p>
      <w:r>
        <w:t>**Critério de aceitação técnica.** Consulta de CPF inexistente retorna estado apropriado sem mutação do mapa de identidade.</w:t>
      </w:r>
    </w:p>
    <w:p>
      <w:r>
        <w:t/>
      </w:r>
    </w:p>
    <w:p>
      <w:r>
        <w:t>**Rastreabilidade de negócio.** RN-005, RN-018, RN-022</w:t>
      </w:r>
    </w:p>
    <w:p>
      <w:r>
        <w:t/>
      </w:r>
    </w:p>
    <w:p>
      <w:r>
        <w:t>**Rastreabilidade normativa/técnica.** § 10.2</w:t>
      </w:r>
    </w:p>
    <w:p>
      <w:r>
        <w:t/>
      </w:r>
    </w:p>
    <w:p>
      <w:r>
        <w:t>#### RT-037 - Projetar Pessoa pelo schema autorizado da credencial</w:t>
      </w:r>
    </w:p>
    <w:p>
      <w:r>
        <w:t/>
      </w:r>
    </w:p>
    <w:p>
      <w:r>
        <w:t>**Requisito técnico.** A consulta cadastral deve aplicar cumulativamente o JSON Schema autorizado da credencial e eventuais restrições negativas versionadas do Gestor responsável.</w:t>
      </w:r>
    </w:p>
    <w:p>
      <w:r>
        <w:t/>
      </w:r>
    </w:p>
    <w:p>
      <w:r>
        <w:t>**Critério de aceitação técnica.** Campo fora da projeção autorizada não é retornado; ausência de restrição ativa mantém a projeção municipal padrão prevista.</w:t>
      </w:r>
    </w:p>
    <w:p>
      <w:r>
        <w:t/>
      </w:r>
    </w:p>
    <w:p>
      <w:r>
        <w:t>**Rastreabilidade de negócio.** RN-018, RN-019, RN-020, RN-022</w:t>
      </w:r>
    </w:p>
    <w:p>
      <w:r>
        <w:t/>
      </w:r>
    </w:p>
    <w:p>
      <w:r>
        <w:t>**Rastreabilidade normativa/técnica.** § 10.4.1; § 10.6</w:t>
      </w:r>
    </w:p>
    <w:p>
      <w:r>
        <w:t/>
      </w:r>
    </w:p>
    <w:p>
      <w:r>
        <w:t>#### RT-038 - Separar fisicamente Registros de Possibilidades</w:t>
      </w:r>
    </w:p>
    <w:p>
      <w:r>
        <w:t/>
      </w:r>
    </w:p>
    <w:p>
      <w:r>
        <w:t>**Requisito técnico.** APIs, DTOs e projeções de Registros e Possibilidades devem permanecer semanticamente e fisicamente distinguíveis.</w:t>
      </w:r>
    </w:p>
    <w:p>
      <w:r>
        <w:t/>
      </w:r>
    </w:p>
    <w:p>
      <w:r>
        <w:t>**Critério de aceitação técnica.** Nenhum endpoint de Possibilidades é utilizado como fonte factual de Benefício Concedido/Serviço Prestado e a resposta explicita a natureza calculada.</w:t>
      </w:r>
    </w:p>
    <w:p>
      <w:r>
        <w:t/>
      </w:r>
    </w:p>
    <w:p>
      <w:r>
        <w:t>**Rastreabilidade de negócio.** RN-011, RN-012, RN-013</w:t>
      </w:r>
    </w:p>
    <w:p>
      <w:r>
        <w:t/>
      </w:r>
    </w:p>
    <w:p>
      <w:r>
        <w:t>**Rastreabilidade normativa/técnica.** §§ 10.4.2, 10.4.3 e 10.5; § 17, RNF14</w:t>
      </w:r>
    </w:p>
    <w:p>
      <w:r>
        <w:t/>
      </w:r>
    </w:p>
    <w:p>
      <w:r>
        <w:t>#### RT-039 - Auditar todo acesso individual e em lote</w:t>
      </w:r>
    </w:p>
    <w:p>
      <w:r>
        <w:t/>
      </w:r>
    </w:p>
    <w:p>
      <w:r>
        <w:t>**Requisito técnico.** Cada acesso individual deve registrar credencial/Gestor, rota, recurso e UUID-alvo; consulta em lote deve registrar todos os UUIDs do evento sem persistir CPF, nome, payload, access key ou finalidade declarada.</w:t>
      </w:r>
    </w:p>
    <w:p>
      <w:r>
        <w:t/>
      </w:r>
    </w:p>
    <w:p>
      <w:r>
        <w:t>**Critério de aceitação técnica.** Trilha de auditoria permite reconstruir quem acessou qual recurso e quando, sem duplicar conteúdo pessoal desnecessário.</w:t>
      </w:r>
    </w:p>
    <w:p>
      <w:r>
        <w:t/>
      </w:r>
    </w:p>
    <w:p>
      <w:r>
        <w:t>**Rastreabilidade de negócio.** RN-029, RN-030</w:t>
      </w:r>
    </w:p>
    <w:p>
      <w:r>
        <w:t/>
      </w:r>
    </w:p>
    <w:p>
      <w:r>
        <w:t>**Rastreabilidade normativa/técnica.** §§ 10.8, 13.5 e 15.6; § 17, RNF30</w:t>
      </w:r>
    </w:p>
    <w:p>
      <w:r>
        <w:t/>
      </w:r>
    </w:p>
    <w:p>
      <w:r>
        <w:t>#### RT-040 - Aplicar rate limit pós-autenticação e proxy confiável</w:t>
      </w:r>
    </w:p>
    <w:p>
      <w:r>
        <w:t/>
      </w:r>
    </w:p>
    <w:p>
      <w:r>
        <w:t>**Requisito técnico.** Rate limiting funcional deve usar CredentialId + classe de endpoint; X-Forwarded-For só pode ser aceito quando Forwarded Headers estiver configurado com proxies explicitamente confiáveis.</w:t>
      </w:r>
    </w:p>
    <w:p>
      <w:r>
        <w:t/>
      </w:r>
    </w:p>
    <w:p>
      <w:r>
        <w:t>**Critério de aceitação técnica.** Sem lista confiável, middleware de forwarded headers permanece desabilitado e o endereço observado na conexão é usado.</w:t>
      </w:r>
    </w:p>
    <w:p>
      <w:r>
        <w:t/>
      </w:r>
    </w:p>
    <w:p>
      <w:r>
        <w:t>**Rastreabilidade de negócio.** RN-029, RN-030</w:t>
      </w:r>
    </w:p>
    <w:p>
      <w:r>
        <w:t/>
      </w:r>
    </w:p>
    <w:p>
      <w:r>
        <w:t>**Rastreabilidade normativa/técnica.** § 13.6; § 17, RNF29 e RNF31</w:t>
      </w:r>
    </w:p>
    <w:p>
      <w:r>
        <w:t/>
      </w:r>
    </w:p>
    <w:p>
      <w:r>
        <w:t/>
      </w:r>
    </w:p>
    <w:p>
      <w:pPr>
        <w:pStyle w:val="Heading3"/>
      </w:pPr>
      <w:r>
        <w:t>5.8 Referência Territorial</w:t>
      </w:r>
    </w:p>
    <w:p>
      <w:r>
        <w:t/>
      </w:r>
    </w:p>
    <w:p>
      <w:r>
        <w:t>#### RT-041 - Modelar Referência Territorial separada de endereço civil</w:t>
      </w:r>
    </w:p>
    <w:p>
      <w:r>
        <w:t/>
      </w:r>
    </w:p>
    <w:p>
      <w:r>
        <w:t>**Requisito técnico.** A solução deve manter Referência Territorial como conceito transversal próprio, separado de ENDERECO_RESIDENCIAL e ENDERECO_CORRESPONDENCIA, inclusive quando existir apenas Distrito/Subprefeitura.</w:t>
      </w:r>
    </w:p>
    <w:p>
      <w:r>
        <w:t/>
      </w:r>
    </w:p>
    <w:p>
      <w:r>
        <w:t>**Critério de aceitação técnica.** Consultas/BI territoriais usam a referência selecionada e não confundem endereço civil com referência de política pública.</w:t>
      </w:r>
    </w:p>
    <w:p>
      <w:r>
        <w:t/>
      </w:r>
    </w:p>
    <w:p>
      <w:r>
        <w:t>**Rastreabilidade de negócio.** RN-015, RN-025</w:t>
      </w:r>
    </w:p>
    <w:p>
      <w:r>
        <w:t/>
      </w:r>
    </w:p>
    <w:p>
      <w:r>
        <w:t>**Rastreabilidade normativa/técnica.** § 11; atualizações v3.28-v3.32; § 17, RNF07</w:t>
      </w:r>
    </w:p>
    <w:p>
      <w:r>
        <w:t/>
      </w:r>
    </w:p>
    <w:p>
      <w:r>
        <w:t>#### RT-042 - Proibir inferência territorial automática por local de atendimento</w:t>
      </w:r>
    </w:p>
    <w:p>
      <w:r>
        <w:t/>
      </w:r>
    </w:p>
    <w:p>
      <w:r>
        <w:t>**Requisito técnico.** Unidade/local de atendimento não pode substituir automaticamente a Referência Territorial da Pessoa; ACOLHIMENTO_INSTITUCIONAL exige declaração explícita da fonte de que aquele local é a referência no período.</w:t>
      </w:r>
    </w:p>
    <w:p>
      <w:r>
        <w:t/>
      </w:r>
    </w:p>
    <w:p>
      <w:r>
        <w:t>**Critério de aceitação técnica.** Nenhuma rotina deriva referência territorial somente do local onde o serviço foi prestado.</w:t>
      </w:r>
    </w:p>
    <w:p>
      <w:r>
        <w:t/>
      </w:r>
    </w:p>
    <w:p>
      <w:r>
        <w:t>**Rastreabilidade de negócio.** RN-015, RN-016, RN-021</w:t>
      </w:r>
    </w:p>
    <w:p>
      <w:r>
        <w:t/>
      </w:r>
    </w:p>
    <w:p>
      <w:r>
        <w:t>**Rastreabilidade normativa/técnica.** § 11; atualização v3.28</w:t>
      </w:r>
    </w:p>
    <w:p>
      <w:r>
        <w:t/>
      </w:r>
    </w:p>
    <w:p>
      <w:r>
        <w:t>#### RT-043 - Preservar snapshot territorial utilizado pelos fatos</w:t>
      </w:r>
    </w:p>
    <w:p>
      <w:r>
        <w:t/>
      </w:r>
    </w:p>
    <w:p>
      <w:r>
        <w:t>**Requisito técnico.** Quando houver territorialização, o fato Gold/Serving deve referenciar o snapshot exato de Referência Territorial aplicável, com natureza, situação geográfica e provenance preservadas.</w:t>
      </w:r>
    </w:p>
    <w:p>
      <w:r>
        <w:t/>
      </w:r>
    </w:p>
    <w:p>
      <w:r>
        <w:t>**Critério de aceitação técnica.** Mudança futura da referência não reescreve retrospectivamente o snapshot territorial associado ao fato histórico.</w:t>
      </w:r>
    </w:p>
    <w:p>
      <w:r>
        <w:t/>
      </w:r>
    </w:p>
    <w:p>
      <w:r>
        <w:t>**Rastreabilidade de negócio.** RN-003, RN-016, RN-017, RN-025</w:t>
      </w:r>
    </w:p>
    <w:p>
      <w:r>
        <w:t/>
      </w:r>
    </w:p>
    <w:p>
      <w:r>
        <w:t>**Rastreabilidade normativa/técnica.** § 11; atualizações v3.31-v3.32</w:t>
      </w:r>
    </w:p>
    <w:p>
      <w:r>
        <w:t/>
      </w:r>
    </w:p>
    <w:p>
      <w:r>
        <w:t/>
      </w:r>
    </w:p>
    <w:p>
      <w:pPr>
        <w:pStyle w:val="Heading3"/>
      </w:pPr>
      <w:r>
        <w:t>5.9 BI e indicadores</w:t>
      </w:r>
    </w:p>
    <w:p>
      <w:r>
        <w:t/>
      </w:r>
    </w:p>
    <w:p>
      <w:r>
        <w:t>#### RT-044 - Tratar views serving.v_bi_* como contratos estáveis</w:t>
      </w:r>
    </w:p>
    <w:p>
      <w:r>
        <w:t/>
      </w:r>
    </w:p>
    <w:p>
      <w:r>
        <w:t>**Requisito técnico.** Views serving.v_bi_* devem constituir contrato estável entre engenharia e Power BI; alteração incompatível exige versionamento formal e comunicação.</w:t>
      </w:r>
    </w:p>
    <w:p>
      <w:r>
        <w:t/>
      </w:r>
    </w:p>
    <w:p>
      <w:r>
        <w:t>**Critério de aceitação técnica.** PBIP/BI não depende de tabela interna não contratada quando existe view Serving canônica.</w:t>
      </w:r>
    </w:p>
    <w:p>
      <w:r>
        <w:t/>
      </w:r>
    </w:p>
    <w:p>
      <w:r>
        <w:t>**Rastreabilidade de negócio.** RN-025, RN-035</w:t>
      </w:r>
    </w:p>
    <w:p>
      <w:r>
        <w:t/>
      </w:r>
    </w:p>
    <w:p>
      <w:r>
        <w:t>**Rastreabilidade normativa/técnica.** § 12.7; § 17, RNF10 e RNF13</w:t>
      </w:r>
    </w:p>
    <w:p>
      <w:r>
        <w:t/>
      </w:r>
    </w:p>
    <w:p>
      <w:r>
        <w:t>#### RT-045 - Parametrizar o PBIP sem credenciais versionadas</w:t>
      </w:r>
    </w:p>
    <w:p>
      <w:r>
        <w:t/>
      </w:r>
    </w:p>
    <w:p>
      <w:r>
        <w:t>**Requisito técnico.** O projeto Power BI deve abrir com parâmetros de servidor/banco e não deve conter credenciais operacionais versionadas.</w:t>
      </w:r>
    </w:p>
    <w:p>
      <w:r>
        <w:t/>
      </w:r>
    </w:p>
    <w:p>
      <w:r>
        <w:t>**Critério de aceitação técnica.** Arquivo PBIP pode ser apontado para local/HML por parâmetro e secrets permanecem externos.</w:t>
      </w:r>
    </w:p>
    <w:p>
      <w:r>
        <w:t/>
      </w:r>
    </w:p>
    <w:p>
      <w:r>
        <w:t>**Rastreabilidade de negócio.** RN-025, RN-030, RN-033</w:t>
      </w:r>
    </w:p>
    <w:p>
      <w:r>
        <w:t/>
      </w:r>
    </w:p>
    <w:p>
      <w:r>
        <w:t>**Rastreabilidade normativa/técnica.** § 12.7; § 17, RNF11</w:t>
      </w:r>
    </w:p>
    <w:p>
      <w:r>
        <w:t/>
      </w:r>
    </w:p>
    <w:p>
      <w:r>
        <w:t>#### RT-046 - Expor qualidade, cobertura e incerteza no BI</w:t>
      </w:r>
    </w:p>
    <w:p>
      <w:r>
        <w:t/>
      </w:r>
    </w:p>
    <w:p>
      <w:r>
        <w:t>**Requisito técnico.** Dashboards devem mostrar ingestão, qualidade de pacotes, identidade por origem, QC, pendências, territorialidade, retransmissões e estados de incerteza, sem ocultar denominadores e coberturas.</w:t>
      </w:r>
    </w:p>
    <w:p>
      <w:r>
        <w:t/>
      </w:r>
    </w:p>
    <w:p>
      <w:r>
        <w:t>**Critério de aceitação técnica.** Indicadores distinguem resolvido determinístico, probabilístico, não resolvido, conflito e ausência de candidato quando aplicável.</w:t>
      </w:r>
    </w:p>
    <w:p>
      <w:r>
        <w:t/>
      </w:r>
    </w:p>
    <w:p>
      <w:r>
        <w:t>**Rastreabilidade de negócio.** RN-023, RN-024, RN-025</w:t>
      </w:r>
    </w:p>
    <w:p>
      <w:r>
        <w:t/>
      </w:r>
    </w:p>
    <w:p>
      <w:r>
        <w:t>**Rastreabilidade normativa/técnica.** §§ 12.6 e 19.1 a 19.8</w:t>
      </w:r>
    </w:p>
    <w:p>
      <w:r>
        <w:t/>
      </w:r>
    </w:p>
    <w:p>
      <w:r>
        <w:t>#### RT-047 - Manter consulta individual fora do Power BI</w:t>
      </w:r>
    </w:p>
    <w:p>
      <w:r>
        <w:t/>
      </w:r>
    </w:p>
    <w:p>
      <w:r>
        <w:t>**Requisito técnico.** Consulta individual de Pessoa, Registros e Possibilidades deve ocorrer por APIs/sistemas finalísticos; o BI é camada analítica e não mecanismo de consulta operacional individualizada.</w:t>
      </w:r>
    </w:p>
    <w:p>
      <w:r>
        <w:t/>
      </w:r>
    </w:p>
    <w:p>
      <w:r>
        <w:t>**Critério de aceitação técnica.** PBIP não precisa expor tela operacional de consulta individual; sistemas autorizados usam API.</w:t>
      </w:r>
    </w:p>
    <w:p>
      <w:r>
        <w:t/>
      </w:r>
    </w:p>
    <w:p>
      <w:r>
        <w:t>**Rastreabilidade de negócio.** RN-018, RN-025, RN-026</w:t>
      </w:r>
    </w:p>
    <w:p>
      <w:r>
        <w:t/>
      </w:r>
    </w:p>
    <w:p>
      <w:r>
        <w:t>**Rastreabilidade normativa/técnica.** § 12.2; princípios da Camada 5</w:t>
      </w:r>
    </w:p>
    <w:p>
      <w:r>
        <w:t/>
      </w:r>
    </w:p>
    <w:p>
      <w:r>
        <w:t/>
      </w:r>
    </w:p>
    <w:p>
      <w:pPr>
        <w:pStyle w:val="Heading3"/>
      </w:pPr>
      <w:r>
        <w:t>5.10 Segurança, privacidade e governança</w:t>
      </w:r>
    </w:p>
    <w:p>
      <w:r>
        <w:t/>
      </w:r>
    </w:p>
    <w:p>
      <w:r>
        <w:t>#### RT-048 - Autenticar integrações e consumidores por código + chave/certificado conforme perfil</w:t>
      </w:r>
    </w:p>
    <w:p>
      <w:r>
        <w:t/>
      </w:r>
    </w:p>
    <w:p>
      <w:r>
        <w:t>**Requisito técnico.** A solução deve exigir autenticação técnica para ingestão e consultas, com credenciais segregadas por Gestor/Tipo e scopes mínimos aplicáveis.</w:t>
      </w:r>
    </w:p>
    <w:p>
      <w:r>
        <w:t/>
      </w:r>
    </w:p>
    <w:p>
      <w:r>
        <w:t>**Critério de aceitação técnica.** Chave inválida não acessa recurso; rotação e substituição de secret são possíveis sem mudança de código.</w:t>
      </w:r>
    </w:p>
    <w:p>
      <w:r>
        <w:t/>
      </w:r>
    </w:p>
    <w:p>
      <w:r>
        <w:t>**Rastreabilidade de negócio.** RN-018, RN-029, RN-033</w:t>
      </w:r>
    </w:p>
    <w:p>
      <w:r>
        <w:t/>
      </w:r>
    </w:p>
    <w:p>
      <w:r>
        <w:t>**Rastreabilidade normativa/técnica.** §§ 13.2 e 13.3</w:t>
      </w:r>
    </w:p>
    <w:p>
      <w:r>
        <w:t/>
      </w:r>
    </w:p>
    <w:p>
      <w:r>
        <w:t>#### RT-049 - Minimizar dados em logs e telemetria</w:t>
      </w:r>
    </w:p>
    <w:p>
      <w:r>
        <w:t/>
      </w:r>
    </w:p>
    <w:p>
      <w:r>
        <w:t>**Requisito técnico.** Logs não podem conter payload integral, access key, CPF/nome desnecessário ou outros identificadores civis além do mínimo operacional.</w:t>
      </w:r>
    </w:p>
    <w:p>
      <w:r>
        <w:t/>
      </w:r>
    </w:p>
    <w:p>
      <w:r>
        <w:t>**Critério de aceitação técnica.** Revisão de logs de erro, API e auditoria evidencia uso de identificadores técnicos/UUID quando suficiente.</w:t>
      </w:r>
    </w:p>
    <w:p>
      <w:r>
        <w:t/>
      </w:r>
    </w:p>
    <w:p>
      <w:r>
        <w:t>**Rastreabilidade de negócio.** RN-029, RN-030</w:t>
      </w:r>
    </w:p>
    <w:p>
      <w:r>
        <w:t/>
      </w:r>
    </w:p>
    <w:p>
      <w:r>
        <w:t>**Rastreabilidade normativa/técnica.** §§ 13.5 e 14.5; § 17, RNF08</w:t>
      </w:r>
    </w:p>
    <w:p>
      <w:r>
        <w:t/>
      </w:r>
    </w:p>
    <w:p>
      <w:r>
        <w:t>#### RT-050 - Manter CPF restrito às camadas operacionais autorizadas</w:t>
      </w:r>
    </w:p>
    <w:p>
      <w:r>
        <w:t/>
      </w:r>
    </w:p>
    <w:p>
      <w:r>
        <w:t>**Requisito técnico.** Na Fase 1, CPF pode existir nas estruturas operacionais necessárias à identidade, mas não deve ser propagado a observabilidade/BI como dimensão nem exposto sem autorização contratual.</w:t>
      </w:r>
    </w:p>
    <w:p>
      <w:r>
        <w:t/>
      </w:r>
    </w:p>
    <w:p>
      <w:r>
        <w:t>**Critério de aceitação técnica.** Dashboards e métricas de cobertura de CPF usam contagens/status sem revelar valores individuais.</w:t>
      </w:r>
    </w:p>
    <w:p>
      <w:r>
        <w:t/>
      </w:r>
    </w:p>
    <w:p>
      <w:r>
        <w:t>**Rastreabilidade de negócio.** RN-006, RN-024, RN-030</w:t>
      </w:r>
    </w:p>
    <w:p>
      <w:r>
        <w:t/>
      </w:r>
    </w:p>
    <w:p>
      <w:r>
        <w:t>**Rastreabilidade normativa/técnica.** § 14.5.1; atualização v3.30</w:t>
      </w:r>
    </w:p>
    <w:p>
      <w:r>
        <w:t/>
      </w:r>
    </w:p>
    <w:p>
      <w:r>
        <w:t>#### RT-051 - Aplicar retenção e expurgo por classe de ativo</w:t>
      </w:r>
    </w:p>
    <w:p>
      <w:r>
        <w:t/>
      </w:r>
    </w:p>
    <w:p>
      <w:r>
        <w:t>**Requisito técnico.** Bronze, Gold, evidências, auditoria e estruturas derivadas devem possuir política de retenção compatível com finalidade, base legal e governança, incluindo cinco anos para registros de acesso/auditoria conforme baseline.</w:t>
      </w:r>
    </w:p>
    <w:p>
      <w:r>
        <w:t/>
      </w:r>
    </w:p>
    <w:p>
      <w:r>
        <w:t>**Critério de aceitação técnica.** Expurgo é executável sem quebrar recuperabilidade referencial; Produção só inicia com parâmetros de retenção aprovados.</w:t>
      </w:r>
    </w:p>
    <w:p>
      <w:r>
        <w:t/>
      </w:r>
    </w:p>
    <w:p>
      <w:r>
        <w:t>**Rastreabilidade de negócio.** RN-029, RN-030, RN-031</w:t>
      </w:r>
    </w:p>
    <w:p>
      <w:r>
        <w:t/>
      </w:r>
    </w:p>
    <w:p>
      <w:r>
        <w:t>**Rastreabilidade normativa/técnica.** § 14.4; tabela de retenção; § 15</w:t>
      </w:r>
    </w:p>
    <w:p>
      <w:r>
        <w:t/>
      </w:r>
    </w:p>
    <w:p>
      <w:r>
        <w:t>#### RT-052 - Proteger estruturalmente endereço de casa-abrigo sigilosa</w:t>
      </w:r>
    </w:p>
    <w:p>
      <w:r>
        <w:t/>
      </w:r>
    </w:p>
    <w:p>
      <w:r>
        <w:t>**Requisito técnico.** ENDERECO_CASA_ABRIGO_SIGILOSA deve ter origem exclusiva em Tipo SERVICO habilitado, não gerar marcador público de Pessoa protegida, não alimentar territorialização e não ser projetado cross-Gestor.</w:t>
      </w:r>
    </w:p>
    <w:p>
      <w:r>
        <w:t/>
      </w:r>
    </w:p>
    <w:p>
      <w:r>
        <w:t>**Critério de aceitação técnica.** Testes de projeção e territorialização comprovam ausência de vazamento desse atributo para consumidores não autorizados.</w:t>
      </w:r>
    </w:p>
    <w:p>
      <w:r>
        <w:t/>
      </w:r>
    </w:p>
    <w:p>
      <w:r>
        <w:t>**Rastreabilidade de negócio.** RN-021, RN-030</w:t>
      </w:r>
    </w:p>
    <w:p>
      <w:r>
        <w:t/>
      </w:r>
    </w:p>
    <w:p>
      <w:r>
        <w:t>**Rastreabilidade normativa/técnica.** atualização normativa v3.57</w:t>
      </w:r>
    </w:p>
    <w:p>
      <w:r>
        <w:t/>
      </w:r>
    </w:p>
    <w:p>
      <w:r>
        <w:t/>
      </w:r>
    </w:p>
    <w:p>
      <w:pPr>
        <w:pStyle w:val="Heading3"/>
      </w:pPr>
      <w:r>
        <w:t>5.11 Operação e requisitos não funcionais</w:t>
      </w:r>
    </w:p>
    <w:p>
      <w:r>
        <w:t/>
      </w:r>
    </w:p>
    <w:p>
      <w:r>
        <w:t>#### RT-053 - Disponibilizar health checks, heartbeat e telemetria operacional</w:t>
      </w:r>
    </w:p>
    <w:p>
      <w:r>
        <w:t/>
      </w:r>
    </w:p>
    <w:p>
      <w:r>
        <w:t>**Requisito técnico.** Componentes residentes devem possuir health check/heartbeat e componentes run-once devem registrar status/telemetria de execução, inclusive linkage_run.</w:t>
      </w:r>
    </w:p>
    <w:p>
      <w:r>
        <w:t/>
      </w:r>
    </w:p>
    <w:p>
      <w:r>
        <w:t>**Critério de aceitação técnica.** HML permite detectar componente indisponível, run estagnado, backlog e lease expirado sem inspeção manual do banco.</w:t>
      </w:r>
    </w:p>
    <w:p>
      <w:r>
        <w:t/>
      </w:r>
    </w:p>
    <w:p>
      <w:r>
        <w:t>**Rastreabilidade de negócio.** RN-023, RN-024, RN-033</w:t>
      </w:r>
    </w:p>
    <w:p>
      <w:r>
        <w:t/>
      </w:r>
    </w:p>
    <w:p>
      <w:r>
        <w:t>**Rastreabilidade normativa/técnica.** § 16.4; § 17, RNF09</w:t>
      </w:r>
    </w:p>
    <w:p>
      <w:r>
        <w:t/>
      </w:r>
    </w:p>
    <w:p>
      <w:r>
        <w:t>#### RT-054 - Manter PipelineWatchdog somente observacional</w:t>
      </w:r>
    </w:p>
    <w:p>
      <w:r>
        <w:t/>
      </w:r>
    </w:p>
    <w:p>
      <w:r>
        <w:t>**Requisito técnico.** Alertas como LINKAGE_RUN_STALE, MODEL_GENERATION_STALE, PROCESSOR_LEASE_EXPIRED e PROCESSOR_BACKLOG_OLD devem informar incidente sem autorizar mutação automática de estado funcional.</w:t>
      </w:r>
    </w:p>
    <w:p>
      <w:r>
        <w:t/>
      </w:r>
    </w:p>
    <w:p>
      <w:r>
        <w:t>**Critério de aceitação técnica.** Disparo de alerta não executa correção cadastral, publicação ou reprocessamento destrutivo por conta própria.</w:t>
      </w:r>
    </w:p>
    <w:p>
      <w:r>
        <w:t/>
      </w:r>
    </w:p>
    <w:p>
      <w:r>
        <w:t>**Rastreabilidade de negócio.** RN-022, RN-023, RN-029</w:t>
      </w:r>
    </w:p>
    <w:p>
      <w:r>
        <w:t/>
      </w:r>
    </w:p>
    <w:p>
      <w:r>
        <w:t>**Rastreabilidade normativa/técnica.** § 16.4; atualização v3.53</w:t>
      </w:r>
    </w:p>
    <w:p>
      <w:r>
        <w:t/>
      </w:r>
    </w:p>
    <w:p>
      <w:r>
        <w:t>#### RT-055 - Usar scheduler corporativo externo para jobs recorrentes</w:t>
      </w:r>
    </w:p>
    <w:p>
      <w:r>
        <w:t/>
      </w:r>
    </w:p>
    <w:p>
      <w:r>
        <w:t>**Requisito técnico.** A Fase 1 não deve implementar scheduler próprio; recorrência e encadeamento de Parameters, Runner e verificações run-once devem usar mecanismo corporativo homologado com logs, retry limitado e não sobreposição.</w:t>
      </w:r>
    </w:p>
    <w:p>
      <w:r>
        <w:t/>
      </w:r>
    </w:p>
    <w:p>
      <w:r>
        <w:t>**Critério de aceitação técnica.** Runbook registra comando, argumentos, início/fim, exit code e identidade técnica do disparo.</w:t>
      </w:r>
    </w:p>
    <w:p>
      <w:r>
        <w:t/>
      </w:r>
    </w:p>
    <w:p>
      <w:r>
        <w:t>**Rastreabilidade de negócio.** RN-033, RN-034</w:t>
      </w:r>
    </w:p>
    <w:p>
      <w:r>
        <w:t/>
      </w:r>
    </w:p>
    <w:p>
      <w:r>
        <w:t>**Rastreabilidade normativa/técnica.** § 16.6</w:t>
      </w:r>
    </w:p>
    <w:p>
      <w:r>
        <w:t/>
      </w:r>
    </w:p>
    <w:p>
      <w:r>
        <w:t>#### RT-056 - Degradar sem bloquear o caminho determinístico</w:t>
      </w:r>
    </w:p>
    <w:p>
      <w:r>
        <w:t/>
      </w:r>
    </w:p>
    <w:p>
      <w:r>
        <w:t>**Requisito técnico.** Indisponibilidade do Parameters Worker/Runner não pode bloquear recepção nem processamento determinístico de Pessoas com CPF válido; pendências sem CPF aguardam reexecução posterior.</w:t>
      </w:r>
    </w:p>
    <w:p>
      <w:r>
        <w:t/>
      </w:r>
    </w:p>
    <w:p>
      <w:r>
        <w:t>**Critério de aceitação técnica.** Falha do componente probabilístico não transforma carga determinística válida em indisponibilidade sistêmica.</w:t>
      </w:r>
    </w:p>
    <w:p>
      <w:r>
        <w:t/>
      </w:r>
    </w:p>
    <w:p>
      <w:r>
        <w:t>**Rastreabilidade de negócio.** RN-006, RN-007, RN-023, RN-028</w:t>
      </w:r>
    </w:p>
    <w:p>
      <w:r>
        <w:t/>
      </w:r>
    </w:p>
    <w:p>
      <w:r>
        <w:t>**Rastreabilidade normativa/técnica.** § 16.5</w:t>
      </w:r>
    </w:p>
    <w:p>
      <w:r>
        <w:t/>
      </w:r>
    </w:p>
    <w:p>
      <w:r>
        <w:t>#### RT-057 - Processar corpus de escala sem carregamento integral em memória</w:t>
      </w:r>
    </w:p>
    <w:p>
      <w:r>
        <w:t/>
      </w:r>
    </w:p>
    <w:p>
      <w:r>
        <w:t>**Requisito técnico.** Parameters Worker e rotinas analíticas de escala devem usar streaming/agregação SQL e amostras limitadas, evitando materializar toda a Gold em memória ou persistir frequências de alta cardinalidade desnecessárias.</w:t>
      </w:r>
    </w:p>
    <w:p>
      <w:r>
        <w:t/>
      </w:r>
    </w:p>
    <w:p>
      <w:r>
        <w:t>**Critério de aceitação técnica.** Teste/harness de escala demonstra memória limitada e ausência de dependência de carregamento populacional integral.</w:t>
      </w:r>
    </w:p>
    <w:p>
      <w:r>
        <w:t/>
      </w:r>
    </w:p>
    <w:p>
      <w:r>
        <w:t>**Rastreabilidade de negócio.** RN-023, RN-024, RN-028, RN-035</w:t>
      </w:r>
    </w:p>
    <w:p>
      <w:r>
        <w:t/>
      </w:r>
    </w:p>
    <w:p>
      <w:r>
        <w:t>**Rastreabilidade normativa/técnica.** § 17, RNF15 e RNF27; atualização v3.55</w:t>
      </w:r>
    </w:p>
    <w:p>
      <w:r>
        <w:t/>
      </w:r>
    </w:p>
    <w:p>
      <w:r>
        <w:t>#### RT-058 - Medir desempenho em HML antes de definir SLA de Produção</w:t>
      </w:r>
    </w:p>
    <w:p>
      <w:r>
        <w:t/>
      </w:r>
    </w:p>
    <w:p>
      <w:r>
        <w:t>**Requisito técnico.** HML deve medir p50, p95, vazão, duração de estágios, backlog e tempos dos jobs; SLA definitivo de Produção não é fixado pela Fase 1 sem evidência de dimensionamento.</w:t>
      </w:r>
    </w:p>
    <w:p>
      <w:r>
        <w:t/>
      </w:r>
    </w:p>
    <w:p>
      <w:r>
        <w:t>**Critério de aceitação técnica.** Relatório de HML contém métricas de capacidade suficientes para subsidiar sizing e metas posteriores.</w:t>
      </w:r>
    </w:p>
    <w:p>
      <w:r>
        <w:t/>
      </w:r>
    </w:p>
    <w:p>
      <w:r>
        <w:t>**Rastreabilidade de negócio.** RN-023, RN-027, RN-033</w:t>
      </w:r>
    </w:p>
    <w:p>
      <w:r>
        <w:t/>
      </w:r>
    </w:p>
    <w:p>
      <w:r>
        <w:t>**Rastreabilidade normativa/técnica.** § 17, RNF20; §§ 16.4 e 19.1</w:t>
      </w:r>
    </w:p>
    <w:p>
      <w:r>
        <w:t/>
      </w:r>
    </w:p>
    <w:p>
      <w:r>
        <w:t/>
      </w:r>
    </w:p>
    <w:p>
      <w:pPr>
        <w:pStyle w:val="Heading3"/>
      </w:pPr>
      <w:r>
        <w:t>5.12 Testes, release e aceite</w:t>
      </w:r>
    </w:p>
    <w:p>
      <w:r>
        <w:t/>
      </w:r>
    </w:p>
    <w:p>
      <w:r>
        <w:t>#### RT-059 - Exercitar DDL e seed reais em testes de integração</w:t>
      </w:r>
    </w:p>
    <w:p>
      <w:r>
        <w:t/>
      </w:r>
    </w:p>
    <w:p>
      <w:r>
        <w:t>**Requisito técnico.** A suíte Integration deve aplicar o DDL e o seed reais de SQL Server, em banco isolado por execução, para detectar incompatibilidades do motor, constraints, procedures e reentrada do schema.</w:t>
      </w:r>
    </w:p>
    <w:p>
      <w:r>
        <w:t/>
      </w:r>
    </w:p>
    <w:p>
      <w:r>
        <w:t>**Critério de aceitação técnica.** Execução local canônica cria banco descartável e os testes não dependem de banco compartilhado preexistente.</w:t>
      </w:r>
    </w:p>
    <w:p>
      <w:r>
        <w:t/>
      </w:r>
    </w:p>
    <w:p>
      <w:r>
        <w:t>**Rastreabilidade de negócio.** RN-023, RN-029, RN-033</w:t>
      </w:r>
    </w:p>
    <w:p>
      <w:r>
        <w:t/>
      </w:r>
    </w:p>
    <w:p>
      <w:r>
        <w:t>**Rastreabilidade normativa/técnica.** § 17, RNF12; atualizações v3.54/v3.55</w:t>
      </w:r>
    </w:p>
    <w:p>
      <w:r>
        <w:t/>
      </w:r>
    </w:p>
    <w:p>
      <w:r>
        <w:t>#### RT-060 - Restaurar dependências em modo locked para validação de release</w:t>
      </w:r>
    </w:p>
    <w:p>
      <w:r>
        <w:t/>
      </w:r>
    </w:p>
    <w:p>
      <w:r>
        <w:t>**Requisito técnico.** A validação local de release deve restaurar Solution, Unit e Integration em --locked-mode antes de build/test, garantindo que o grafo resolvido corresponda aos packages.lock.json versionados.</w:t>
      </w:r>
    </w:p>
    <w:p>
      <w:r>
        <w:t/>
      </w:r>
    </w:p>
    <w:p>
      <w:r>
        <w:t>**Critério de aceitação técnica.** Alteração não declarada no grafo falha o restore locked; release registra separadamente evidência executada externamente e claims do ambiente de empacotamento.</w:t>
      </w:r>
    </w:p>
    <w:p>
      <w:r>
        <w:t/>
      </w:r>
    </w:p>
    <w:p>
      <w:r>
        <w:t>**Rastreabilidade de negócio.** RN-014, RN-029, RN-033</w:t>
      </w:r>
    </w:p>
    <w:p>
      <w:r>
        <w:t/>
      </w:r>
    </w:p>
    <w:p>
      <w:r>
        <w:t>**Rastreabilidade normativa/técnica.** engenharia reprodutível derivada de atualização v3.54; baseline Solution v3.95/v3.96</w:t>
      </w:r>
    </w:p>
    <w:p>
      <w:r>
        <w:t/>
      </w:r>
    </w:p>
    <w:p>
      <w:r>
        <w:t>#### RT-061 - Validar SQL Server local por imagem fixada em digest</w:t>
      </w:r>
    </w:p>
    <w:p>
      <w:r>
        <w:t/>
      </w:r>
    </w:p>
    <w:p>
      <w:r>
        <w:t>**Requisito técnico.** O ambiente local de integração deve usar a imagem SQL Server homologada por tag + digest; o script deve reutilizar cache quando íntegro e realizar pull somente quando ausente ou quando a recuperação controlada do engine exigir.</w:t>
      </w:r>
    </w:p>
    <w:p>
      <w:r>
        <w:t/>
      </w:r>
    </w:p>
    <w:p>
      <w:r>
        <w:t>**Critério de aceitação técnica.** Validação informa imagem/digest, confirma engine real e não interpreta falha funcional de teste como corrupção da imagem.</w:t>
      </w:r>
    </w:p>
    <w:p>
      <w:r>
        <w:t/>
      </w:r>
    </w:p>
    <w:p>
      <w:r>
        <w:t>**Rastreabilidade de negócio.** RN-023, RN-033</w:t>
      </w:r>
    </w:p>
    <w:p>
      <w:r>
        <w:t/>
      </w:r>
    </w:p>
    <w:p>
      <w:r>
        <w:t>**Rastreabilidade normativa/técnica.** atualização v3.54; baseline de engenharia v3.95</w:t>
      </w:r>
    </w:p>
    <w:p>
      <w:r>
        <w:t/>
      </w:r>
    </w:p>
    <w:p>
      <w:r>
        <w:t>#### RT-062 - Verificar integridade básica do engine SQL antes da Integration</w:t>
      </w:r>
    </w:p>
    <w:p>
      <w:r>
        <w:t/>
      </w:r>
    </w:p>
    <w:p>
      <w:r>
        <w:t>**Requisito técnico.** O preflight local deve confirmar Docker Engine, conexão SQL, ProductVersion e DBCC CHECKDB(master), com uma única tentativa controlada de re-pull quando houver evidência de falha do próprio engine.</w:t>
      </w:r>
    </w:p>
    <w:p>
      <w:r>
        <w:t/>
      </w:r>
    </w:p>
    <w:p>
      <w:r>
        <w:t>**Critério de aceitação técnica.** Falha de constraint/procedure da aplicação não dispara reinstalação; falha de engine/cache pode acionar recuperação segura e auditável.</w:t>
      </w:r>
    </w:p>
    <w:p>
      <w:r>
        <w:t/>
      </w:r>
    </w:p>
    <w:p>
      <w:r>
        <w:t>**Rastreabilidade de negócio.** RN-023, RN-029, RN-033</w:t>
      </w:r>
    </w:p>
    <w:p>
      <w:r>
        <w:t/>
      </w:r>
    </w:p>
    <w:p>
      <w:r>
        <w:t>**Rastreabilidade normativa/técnica.** baseline de engenharia v3.95; operação § 16</w:t>
      </w:r>
    </w:p>
    <w:p>
      <w:r>
        <w:t/>
      </w:r>
    </w:p>
    <w:p>
      <w:r>
        <w:t>#### RT-063 - Tratar warnings e testes como gates de qualidade</w:t>
      </w:r>
    </w:p>
    <w:p>
      <w:r>
        <w:t/>
      </w:r>
    </w:p>
    <w:p>
      <w:r>
        <w:t>**Requisito técnico.** CI/validação de release deve compilar em Release com warnings controlados como erro quando configurado e executar Unit + Integration relevantes antes de promoção.</w:t>
      </w:r>
    </w:p>
    <w:p>
      <w:r>
        <w:t/>
      </w:r>
    </w:p>
    <w:p>
      <w:r>
        <w:t>**Critério de aceitação técnica.** Build 0 erros e suítes aprovadas são pré-condição de baseline técnico; exceções precisam de registro formal e não podem ser mascaradas.</w:t>
      </w:r>
    </w:p>
    <w:p>
      <w:r>
        <w:t/>
      </w:r>
    </w:p>
    <w:p>
      <w:r>
        <w:t>**Rastreabilidade de negócio.** RN-023, RN-029, RN-033</w:t>
      </w:r>
    </w:p>
    <w:p>
      <w:r>
        <w:t/>
      </w:r>
    </w:p>
    <w:p>
      <w:r>
        <w:t>**Rastreabilidade normativa/técnica.** atualização v3.30; § 18.4</w:t>
      </w:r>
    </w:p>
    <w:p>
      <w:r>
        <w:t/>
      </w:r>
    </w:p>
    <w:p>
      <w:r>
        <w:t>#### RT-064 - Demonstrar fluxo ponta a ponta em HML antes de Produção</w:t>
      </w:r>
    </w:p>
    <w:p>
      <w:r>
        <w:t/>
      </w:r>
    </w:p>
    <w:p>
      <w:r>
        <w:t>**Requisito técnico.** A HML deve demonstrar autenticação, ingestão v2, Bronze→Silver→Gold/Serving, identidade, Referência Territorial, QC, APIs, Possibilidades, Power BI, logs, métricas, auditoria, watchdog e scheduler corporativo.</w:t>
      </w:r>
    </w:p>
    <w:p>
      <w:r>
        <w:t/>
      </w:r>
    </w:p>
    <w:p>
      <w:r>
        <w:t>**Critério de aceitação técnica.** Promoção para Produção requer evidência dos critérios de aceite técnico da Fase 1 e dos gates de governança ainda externos à validação local.</w:t>
      </w:r>
    </w:p>
    <w:p>
      <w:r>
        <w:t/>
      </w:r>
    </w:p>
    <w:p>
      <w:r>
        <w:t>**Rastreabilidade de negócio.** RN-023, RN-025, RN-029, RN-031, RN-032, RN-033, RN-034</w:t>
      </w:r>
    </w:p>
    <w:p>
      <w:r>
        <w:t/>
      </w:r>
    </w:p>
    <w:p>
      <w:r>
        <w:t>**Rastreabilidade normativa/técnica.** § 18.4; §§ 13 a 16</w:t>
      </w:r>
    </w:p>
    <w:p>
      <w:r>
        <w:t/>
      </w:r>
    </w:p>
    <w:p>
      <w:r>
        <w:t>#### RT-065 - Manter biometria fora do núcleo técnico da Fase 1</w:t>
      </w:r>
    </w:p>
    <w:p>
      <w:r>
        <w:t/>
      </w:r>
    </w:p>
    <w:p>
      <w:r>
        <w:t>**Requisito técnico.** A Fase 1 não deve depender de biometria para constituir, consultar ou manter a Pessoa canônica; eventual biometria futura deve ser tratada como evolução específica, com contrato, governança e proteção próprios.</w:t>
      </w:r>
    </w:p>
    <w:p>
      <w:r>
        <w:t/>
      </w:r>
    </w:p>
    <w:p>
      <w:r>
        <w:t>**Critério de aceitação técnica.** Build, ingestão, resolução determinística, Gold e APIs funcionam sem componente biométrico; nenhuma ausência de biometria bloqueia o fluxo normativo da Fase 1.</w:t>
      </w:r>
    </w:p>
    <w:p>
      <w:r>
        <w:t/>
      </w:r>
    </w:p>
    <w:p>
      <w:r>
        <w:t>**Rastreabilidade de negócio.** RN-036</w:t>
      </w:r>
    </w:p>
    <w:p>
      <w:r>
        <w:t/>
      </w:r>
    </w:p>
    <w:p>
      <w:r>
        <w:t>**Rastreabilidade normativa/técnica.** § 20 - Fora de escopo; diretriz de evolução da identidade</w:t>
      </w:r>
    </w:p>
    <w:p>
      <w:r>
        <w:t/>
      </w:r>
    </w:p>
    <w:p>
      <w:r>
        <w:t/>
      </w:r>
    </w:p>
    <w:p>
      <w:pPr>
        <w:pStyle w:val="Heading2"/>
      </w:pPr>
      <w:r>
        <w:t>6. Rastreabilidade resumida RN -&gt; RT (legado compatível)</w:t>
      </w:r>
    </w:p>
    <w:p>
      <w:r>
        <w:t/>
      </w:r>
    </w:p>
    <w:p>
      <w:r>
        <w:t>| Requisito de Negócio | Requisitos Técnicos relacionados |</w:t>
      </w:r>
    </w:p>
    <w:p>
      <w:r>
        <w:t>|---|---|</w:t>
      </w:r>
    </w:p>
    <w:p>
      <w:r>
        <w:t>| RN-001 | RT-001, RT-003 |</w:t>
      </w:r>
    </w:p>
    <w:p>
      <w:r>
        <w:t>| RN-002 | RT-006, RT-007, RT-010, RT-011, RT-013, RT-018 |</w:t>
      </w:r>
    </w:p>
    <w:p>
      <w:r>
        <w:t>| RN-003 | RT-002, RT-010, RT-011, RT-014, RT-015, RT-016, RT-017, RT-019, RT-020, RT-027, RT-043 |</w:t>
      </w:r>
    </w:p>
    <w:p>
      <w:r>
        <w:t>| RN-004 | RT-032 |</w:t>
      </w:r>
    </w:p>
    <w:p>
      <w:r>
        <w:t>| RN-005 | RT-023, RT-024, RT-027, RT-030, RT-036 |</w:t>
      </w:r>
    </w:p>
    <w:p>
      <w:r>
        <w:t>| RN-006 | RT-023, RT-024, RT-026, RT-028, RT-050, RT-056 |</w:t>
      </w:r>
    </w:p>
    <w:p>
      <w:r>
        <w:t>| RN-007 | RT-025, RT-026, RT-056 |</w:t>
      </w:r>
    </w:p>
    <w:p>
      <w:r>
        <w:t>| RN-008 | RT-034 |</w:t>
      </w:r>
    </w:p>
    <w:p>
      <w:r>
        <w:t>| RN-009 | RT-032, RT-034 |</w:t>
      </w:r>
    </w:p>
    <w:p>
      <w:r>
        <w:t>| RN-010 | RT-034 |</w:t>
      </w:r>
    </w:p>
    <w:p>
      <w:r>
        <w:t>| RN-011 | RT-007, RT-031, RT-038 |</w:t>
      </w:r>
    </w:p>
    <w:p>
      <w:r>
        <w:t>| RN-012 | RT-011, RT-020, RT-033, RT-038 |</w:t>
      </w:r>
    </w:p>
    <w:p>
      <w:r>
        <w:t>| RN-013 | RT-031, RT-038 |</w:t>
      </w:r>
    </w:p>
    <w:p>
      <w:r>
        <w:t>| RN-014 | RT-005, RT-006, RT-007, RT-008, RT-029, RT-060 |</w:t>
      </w:r>
    </w:p>
    <w:p>
      <w:r>
        <w:t>| RN-015 | RT-041, RT-042 |</w:t>
      </w:r>
    </w:p>
    <w:p>
      <w:r>
        <w:t>| RN-016 | RT-042, RT-043 |</w:t>
      </w:r>
    </w:p>
    <w:p>
      <w:r>
        <w:t>| RN-017 | RT-043 |</w:t>
      </w:r>
    </w:p>
    <w:p>
      <w:r>
        <w:t>| RN-018 | RT-035, RT-036, RT-037, RT-047, RT-048 |</w:t>
      </w:r>
    </w:p>
    <w:p>
      <w:r>
        <w:t>| RN-019 | RT-035, RT-037 |</w:t>
      </w:r>
    </w:p>
    <w:p>
      <w:r>
        <w:t>| RN-020 | RT-035, RT-037 |</w:t>
      </w:r>
    </w:p>
    <w:p>
      <w:r>
        <w:t>| RN-021 | RT-042, RT-052 |</w:t>
      </w:r>
    </w:p>
    <w:p>
      <w:r>
        <w:t>| RN-022 | RT-036, RT-037, RT-054 |</w:t>
      </w:r>
    </w:p>
    <w:p>
      <w:r>
        <w:t>| RN-023 | RT-012, RT-014, RT-015, RT-017, RT-018, RT-019, RT-020, RT-021, RT-022, RT-024, RT-026, RT-033, RT-046, RT-053, RT-054, RT-056, RT-057, RT-058, RT-059, RT-061, RT-062, RT-063, RT-064 |</w:t>
      </w:r>
    </w:p>
    <w:p>
      <w:r>
        <w:t>| RN-024 | RT-019, RT-022, RT-025, RT-027, RT-028, RT-029, RT-046, RT-050, RT-053, RT-057 |</w:t>
      </w:r>
    </w:p>
    <w:p>
      <w:r>
        <w:t>| RN-025 | RT-041, RT-043, RT-044, RT-045, RT-046, RT-047, RT-064 |</w:t>
      </w:r>
    </w:p>
    <w:p>
      <w:r>
        <w:t>| RN-026 | RT-047 |</w:t>
      </w:r>
    </w:p>
    <w:p>
      <w:r>
        <w:t>| RN-027 | RT-058 |</w:t>
      </w:r>
    </w:p>
    <w:p>
      <w:r>
        <w:t>| RN-028 | RT-022, RT-026, RT-032, RT-056, RT-057 |</w:t>
      </w:r>
    </w:p>
    <w:p>
      <w:r>
        <w:t>| RN-029 | RT-004, RT-005, RT-013, RT-014, RT-015, RT-016, RT-017, RT-020, RT-021, RT-027, RT-029, RT-030, RT-034, RT-035, RT-039, RT-040, RT-048, RT-049, RT-051, RT-054, RT-059, RT-060, RT-062, RT-063, RT-064 |</w:t>
      </w:r>
    </w:p>
    <w:p>
      <w:r>
        <w:t>| RN-030 | RT-004, RT-012, RT-016, RT-023, RT-039, RT-040, RT-045, RT-049, RT-050, RT-051, RT-052 |</w:t>
      </w:r>
    </w:p>
    <w:p>
      <w:r>
        <w:t>| RN-031 | RT-016, RT-017, RT-051, RT-064 |</w:t>
      </w:r>
    </w:p>
    <w:p>
      <w:r>
        <w:t>| RN-032 | RT-064 |</w:t>
      </w:r>
    </w:p>
    <w:p>
      <w:r>
        <w:t>| RN-033 | RT-004, RT-005, RT-009, RT-045, RT-048, RT-053, RT-055, RT-058, RT-059, RT-060, RT-061, RT-062, RT-063, RT-064 |</w:t>
      </w:r>
    </w:p>
    <w:p>
      <w:r>
        <w:t>| RN-034 | RT-006, RT-009, RT-013, RT-055, RT-064 |</w:t>
      </w:r>
    </w:p>
    <w:p>
      <w:r>
        <w:t>| RN-035 | RT-001, RT-002, RT-003, RT-006, RT-007, RT-008, RT-009, RT-018, RT-021, RT-044, RT-057 |</w:t>
      </w:r>
    </w:p>
    <w:p>
      <w:r>
        <w:t>| RN-036 | RT-065 |</w:t>
      </w:r>
    </w:p>
    <w:p>
      <w:r>
        <w:t/>
      </w:r>
    </w:p>
    <w:p>
      <w:pPr>
        <w:pStyle w:val="Heading2"/>
      </w:pPr>
      <w:r>
        <w:t>7. Critérios gerais de aceite técnico</w:t>
      </w:r>
    </w:p>
    <w:p>
      <w:r>
        <w:t/>
      </w:r>
    </w:p>
    <w:p>
      <w:r>
        <w:t>- O requisito técnico deve possuir evidência verificável por teste, inspeção de artefato, observabilidade, runbook ou homologação, conforme sua natureza.</w:t>
      </w:r>
    </w:p>
    <w:p>
      <w:r>
        <w:t>- Gates locais não substituem HML, Produção, RIPD, calibração ou governança quando o requisito depender desses ambientes/atos.</w:t>
      </w:r>
    </w:p>
    <w:p>
      <w:r>
        <w:t>- Uma aprovação de runtime vale somente para o commit/release e ambiente documentados; alteração funcional relevante exige nova evidência.</w:t>
      </w:r>
    </w:p>
    <w:p>
      <w:r>
        <w:t>- Teste alterado para refletir o contrato correto deve continuar provando o comportamento, sem simplesmente remover a asserção que detectou o defeito.</w:t>
      </w:r>
    </w:p>
    <w:p>
      <w:r>
        <w:t>- Falha de componente de infraestrutura deve ser distinguida de falha funcional da aplicação; recuperação automática não pode mascarar erro de negócio/DDL.</w:t>
      </w:r>
    </w:p>
    <w:p>
      <w:r>
        <w:t/>
      </w:r>
    </w:p>
    <w:p>
      <w:pPr>
        <w:pStyle w:val="Heading2"/>
      </w:pPr>
      <w:r>
        <w:t>8. Fora de escopo deste documento</w:t>
      </w:r>
    </w:p>
    <w:p>
      <w:r>
        <w:t/>
      </w:r>
    </w:p>
    <w:p>
      <w:r>
        <w:t>- Reescrever a Especificação Técnica v3.62 ou redefinir regra normativa.</w:t>
      </w:r>
    </w:p>
    <w:p>
      <w:r>
        <w:t>- Fixar SLA definitivo de Produção antes das medições de HML.</w:t>
      </w:r>
    </w:p>
    <w:p>
      <w:r>
        <w:t>- Aprovar RIPD, retenção de Produção, regras setoriais ou calibração probabilística dependente de dados reais.</w:t>
      </w:r>
    </w:p>
    <w:p>
      <w:r>
        <w:t>- Substituir runbooks, ADRs, contratos JSON/OpenAPI, DDL ou documentação de operação detalhada.</w:t>
      </w:r>
    </w:p>
    <w:p>
      <w:r>
        <w:t>- Transformar Possibilidades em decisão administrativa, direito ou fato ocorrido.</w:t>
      </w:r>
    </w:p>
    <w:p>
      <w:r>
        <w:t/>
      </w:r>
    </w:p>
    <w:p>
      <w:pPr>
        <w:pStyle w:val="Heading2"/>
      </w:pPr>
      <w:r>
        <w:t>9. Controle de versão</w:t>
      </w:r>
    </w:p>
    <w:p>
      <w:r>
        <w:t/>
      </w:r>
    </w:p>
    <w:p>
      <w:r>
        <w:t>| Versão | Data | Síntese | Incorporação |</w:t>
      </w:r>
    </w:p>
    <w:p>
      <w:r>
        <w:t>|---|---|---|---|</w:t>
      </w:r>
    </w:p>
    <w:p>
      <w:r>
        <w:t>| 1.0 | 03/09/2026 | Baseline inicial de 65 requisitos técnicos, com rastreabilidade aos 36 Requisitos de Negócio v1.0 e à Especificação Técnica v3.62. | Solution Engenharia v3.97 |</w:t>
      </w:r>
    </w:p>
    <w:p>
      <w:r>
        <w:t>| 1.1 | 03/09/2026 | Reclassificação documental: RT passa a ser explicitamente a camada de realização de RF/RNF; conteúdo técnico dos 65 RT preservado e matriz completa externalizada. | Solution Engenharia v3.98 |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8"/>
    </w:rPr>
  </w:style>
  <w:style w:type="paragraph" w:styleId="Heading3">
    <w:name w:val="heading 3"/>
    <w:basedOn w:val="Normal"/>
    <w:rPr>
      <w:b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