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rPr>
          <w:rFonts w:ascii="Arial" w:hAnsi="Arial" w:eastAsia="Arial"/>
        </w:rPr>
        <w:t>Requisitos Funcionais - Jornada do Cidadão - Fase 1</w:t>
      </w:r>
    </w:p>
    <w:p>
      <w:r>
        <w:rPr>
          <w:rFonts w:ascii="Arial" w:hAnsi="Arial" w:eastAsia="Arial"/>
          <w:b/>
        </w:rPr>
        <w:t>Versão do documento:</w:t>
      </w:r>
      <w:r>
        <w:rPr>
          <w:rFonts w:ascii="Arial" w:hAnsi="Arial" w:eastAsia="Arial"/>
        </w:rPr>
        <w:t xml:space="preserve"> 1.1</w:t>
      </w:r>
    </w:p>
    <w:p>
      <w:r>
        <w:rPr>
          <w:rFonts w:ascii="Arial" w:hAnsi="Arial" w:eastAsia="Arial"/>
          <w:b/>
        </w:rPr>
        <w:t>Data:</w:t>
      </w:r>
      <w:r>
        <w:rPr>
          <w:rFonts w:ascii="Arial" w:hAnsi="Arial" w:eastAsia="Arial"/>
        </w:rPr>
        <w:t xml:space="preserve"> 10/09/2026</w:t>
      </w:r>
    </w:p>
    <w:p>
      <w:r>
        <w:rPr>
          <w:rFonts w:ascii="Arial" w:hAnsi="Arial" w:eastAsia="Arial"/>
          <w:b/>
        </w:rPr>
        <w:t>Base normativa:</w:t>
      </w:r>
      <w:r>
        <w:rPr>
          <w:rFonts w:ascii="Arial" w:hAnsi="Arial" w:eastAsia="Arial"/>
        </w:rPr>
        <w:t xml:space="preserve"> Especificação Técnica Jornada v3.62</w:t>
      </w:r>
    </w:p>
    <w:p>
      <w:r>
        <w:rPr>
          <w:rFonts w:ascii="Arial" w:hAnsi="Arial" w:eastAsia="Arial"/>
          <w:b/>
        </w:rPr>
        <w:t>SolutionSchema:</w:t>
      </w:r>
      <w:r>
        <w:rPr>
          <w:rFonts w:ascii="Arial" w:hAnsi="Arial" w:eastAsia="Arial"/>
        </w:rPr>
        <w:t xml:space="preserve"> SolutionSchema v3.70</w:t>
      </w:r>
    </w:p>
    <w:p>
      <w:r>
        <w:rPr>
          <w:rFonts w:ascii="Arial" w:hAnsi="Arial" w:eastAsia="Arial"/>
          <w:b/>
        </w:rPr>
        <w:t>Requisitos de Negócio:</w:t>
      </w:r>
      <w:r>
        <w:rPr>
          <w:rFonts w:ascii="Arial" w:hAnsi="Arial" w:eastAsia="Arial"/>
        </w:rPr>
        <w:t xml:space="preserve"> Requisitos de Negócio Jornada v1.1</w:t>
      </w:r>
    </w:p>
    <w:p>
      <w:r>
        <w:rPr>
          <w:rFonts w:ascii="Arial" w:hAnsi="Arial" w:eastAsia="Arial"/>
          <w:b/>
        </w:rPr>
        <w:t>Estado de incorporação:</w:t>
      </w:r>
      <w:r>
        <w:rPr>
          <w:rFonts w:ascii="Arial" w:hAnsi="Arial" w:eastAsia="Arial"/>
        </w:rPr>
        <w:t xml:space="preserve"> candidato técnico à consolidação Solution Engenharia v5.00; release/tag ainda não cortada</w:t>
      </w:r>
    </w:p>
    <w:p>
      <w:r>
        <w:rPr>
          <w:rFonts w:ascii="Arial" w:hAnsi="Arial" w:eastAsia="Arial"/>
          <w:b/>
        </w:rPr>
        <w:t>Status:</w:t>
      </w:r>
      <w:r>
        <w:rPr>
          <w:rFonts w:ascii="Arial" w:hAnsi="Arial" w:eastAsia="Arial"/>
        </w:rPr>
        <w:t xml:space="preserve"> BASELINE FUNCIONAL CONSOLIDADO DA FASE 1</w:t>
      </w:r>
    </w:p>
    <w:p>
      <w:pPr>
        <w:ind w:left="255" w:right="142"/>
      </w:pPr>
      <w:r>
        <w:rPr>
          <w:rFonts w:ascii="Arial" w:hAnsi="Arial" w:eastAsia="Arial"/>
          <w:b/>
          <w:sz w:val="17"/>
        </w:rPr>
        <w:t>Leitura institucional.</w:t>
      </w:r>
      <w:r>
        <w:rPr>
          <w:rFonts w:ascii="Arial" w:hAnsi="Arial" w:eastAsia="Arial"/>
          <w:sz w:val="17"/>
        </w:rPr>
        <w:t xml:space="preserve"> Esta versão 1.1 é o baseline funcional consolidado e autossuficiente. O arquivo v1.0 permanece no repositório apenas para rastreabilidade histórica; não é necessário lê-lo cumulativamente com este documento. Referências históricas </w:t>
      </w:r>
      <w:r>
        <w:rPr>
          <w:rFonts w:ascii="Consolas" w:hAnsi="Consolas" w:eastAsia="Consolas"/>
          <w:sz w:val="17"/>
        </w:rPr>
        <w:t>RNF01</w:t>
      </w:r>
      <w:r>
        <w:rPr>
          <w:rFonts w:ascii="Arial" w:hAnsi="Arial" w:eastAsia="Arial"/>
          <w:sz w:val="17"/>
        </w:rPr>
        <w:t xml:space="preserve"> a </w:t>
      </w:r>
      <w:r>
        <w:rPr>
          <w:rFonts w:ascii="Consolas" w:hAnsi="Consolas" w:eastAsia="Consolas"/>
          <w:sz w:val="17"/>
        </w:rPr>
        <w:t>RNF33</w:t>
      </w:r>
      <w:r>
        <w:rPr>
          <w:rFonts w:ascii="Arial" w:hAnsi="Arial" w:eastAsia="Arial"/>
          <w:sz w:val="17"/>
        </w:rPr>
        <w:t xml:space="preserve"> foram normalizadas para </w:t>
      </w:r>
      <w:r>
        <w:rPr>
          <w:rFonts w:ascii="Consolas" w:hAnsi="Consolas" w:eastAsia="Consolas"/>
          <w:sz w:val="17"/>
        </w:rPr>
        <w:t>RNF-001</w:t>
      </w:r>
      <w:r>
        <w:rPr>
          <w:rFonts w:ascii="Arial" w:hAnsi="Arial" w:eastAsia="Arial"/>
          <w:sz w:val="17"/>
        </w:rPr>
        <w:t xml:space="preserve"> a </w:t>
      </w:r>
      <w:r>
        <w:rPr>
          <w:rFonts w:ascii="Consolas" w:hAnsi="Consolas" w:eastAsia="Consolas"/>
          <w:sz w:val="17"/>
        </w:rPr>
        <w:t>RNF-033</w:t>
      </w:r>
      <w:r>
        <w:rPr>
          <w:rFonts w:ascii="Arial" w:hAnsi="Arial" w:eastAsia="Arial"/>
          <w:sz w:val="17"/>
        </w:rPr>
        <w:t xml:space="preserve"> sem mudança semântica.</w:t>
      </w:r>
    </w:p>
    <w:p>
      <w:pPr>
        <w:ind w:left="255" w:right="142"/>
      </w:pPr>
      <w:r>
        <w:rPr>
          <w:rFonts w:ascii="Arial" w:hAnsi="Arial" w:eastAsia="Arial"/>
          <w:sz w:val="17"/>
        </w:rPr>
        <w:t>Este documento descreve o que a solução deve fazer para materializar os Requisitos de Negócio. Ele evita detalhes de tecnologia sempre que possível; atributos de qualidade/restrições pertencem ao RNF e mecanismos de implementação pertencem ao RT.</w:t>
      </w:r>
    </w:p>
    <w:p>
      <w:pPr>
        <w:pStyle w:val="Heading2"/>
        <w:keepNext/>
      </w:pPr>
      <w:r>
        <w:rPr>
          <w:rFonts w:ascii="Arial" w:hAnsi="Arial" w:eastAsia="Arial"/>
        </w:rPr>
        <w:t>1. Finalidade</w:t>
      </w:r>
    </w:p>
    <w:p>
      <w:r>
        <w:rPr>
          <w:rFonts w:ascii="Arial" w:hAnsi="Arial" w:eastAsia="Arial"/>
        </w:rPr>
        <w:t>Definir comportamentos observáveis da Jornada do Cidadão - Fase 1, com critérios de aceitação e rastreabilidade aos RN.</w:t>
      </w:r>
    </w:p>
    <w:p>
      <w:pPr>
        <w:pStyle w:val="Heading2"/>
        <w:keepNext/>
      </w:pPr>
      <w:r>
        <w:rPr>
          <w:rFonts w:ascii="Arial" w:hAnsi="Arial" w:eastAsia="Arial"/>
        </w:rPr>
        <w:t>2. Regra de classificação</w:t>
      </w:r>
    </w:p>
    <w:p>
      <w:pPr>
        <w:pStyle w:val="ListBullet"/>
      </w:pPr>
      <w:r>
        <w:rPr>
          <w:rFonts w:ascii="Arial" w:hAnsi="Arial" w:eastAsia="Arial"/>
          <w:b/>
        </w:rPr>
        <w:t>RN:</w:t>
      </w:r>
      <w:r>
        <w:rPr>
          <w:rFonts w:ascii="Arial" w:hAnsi="Arial" w:eastAsia="Arial"/>
        </w:rPr>
        <w:t xml:space="preserve"> resultado ou necessidade institucional.</w:t>
      </w:r>
    </w:p>
    <w:p>
      <w:pPr>
        <w:pStyle w:val="ListBullet"/>
      </w:pPr>
      <w:r>
        <w:rPr>
          <w:rFonts w:ascii="Arial" w:hAnsi="Arial" w:eastAsia="Arial"/>
          <w:b/>
        </w:rPr>
        <w:t>RF:</w:t>
      </w:r>
      <w:r>
        <w:rPr>
          <w:rFonts w:ascii="Arial" w:hAnsi="Arial" w:eastAsia="Arial"/>
        </w:rPr>
        <w:t xml:space="preserve"> comportamento/serviço que a solução deve executar.</w:t>
      </w:r>
    </w:p>
    <w:p>
      <w:pPr>
        <w:pStyle w:val="ListBullet"/>
      </w:pPr>
      <w:r>
        <w:rPr>
          <w:rFonts w:ascii="Arial" w:hAnsi="Arial" w:eastAsia="Arial"/>
          <w:b/>
        </w:rPr>
        <w:t>RNF:</w:t>
      </w:r>
      <w:r>
        <w:rPr>
          <w:rFonts w:ascii="Arial" w:hAnsi="Arial" w:eastAsia="Arial"/>
        </w:rPr>
        <w:t xml:space="preserve"> qualidade, restrição, capacidade ou propriedade transversal.</w:t>
      </w:r>
    </w:p>
    <w:p>
      <w:pPr>
        <w:pStyle w:val="ListBullet"/>
      </w:pPr>
      <w:r>
        <w:rPr>
          <w:rFonts w:ascii="Arial" w:hAnsi="Arial" w:eastAsia="Arial"/>
          <w:b/>
        </w:rPr>
        <w:t>RT:</w:t>
      </w:r>
      <w:r>
        <w:rPr>
          <w:rFonts w:ascii="Arial" w:hAnsi="Arial" w:eastAsia="Arial"/>
        </w:rPr>
        <w:t xml:space="preserve"> escolha ou obrigação de engenharia para realizar RF/RNF.</w:t>
      </w:r>
    </w:p>
    <w:p>
      <w:pPr>
        <w:pStyle w:val="Heading2"/>
        <w:keepNext/>
      </w:pPr>
      <w:r>
        <w:rPr>
          <w:rFonts w:ascii="Arial" w:hAnsi="Arial" w:eastAsia="Arial"/>
        </w:rPr>
        <w:t>3. Requisitos Funcionais</w:t>
      </w:r>
    </w:p>
    <w:p>
      <w:pPr>
        <w:pStyle w:val="Heading3"/>
        <w:keepNext/>
      </w:pPr>
      <w:r>
        <w:rPr>
          <w:rFonts w:ascii="Arial" w:hAnsi="Arial" w:eastAsia="Arial"/>
        </w:rPr>
        <w:t>3.1 Integração, contratos e processamento</w:t>
      </w:r>
    </w:p>
    <w:p>
      <w:pPr>
        <w:pStyle w:val="Heading4"/>
        <w:keepNext/>
      </w:pPr>
      <w:r>
        <w:rPr>
          <w:rFonts w:ascii="Arial" w:hAnsi="Arial" w:eastAsia="Arial"/>
        </w:rPr>
        <w:t>RF-001 - Receber Entrega padronizada da Fase 1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receber uma Entrega de um Gestor em envelope padronizado, contendo os artefatos cadastrais e factuais previstos pelo contrato vigente.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Entrega válida é registrada e recebe identificador/estado de recepção; estrutura incompatível é recusada de forma explícita.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RN-003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RNF-003; RT: RT-010</w:t>
      </w:r>
    </w:p>
    <w:p>
      <w:pPr>
        <w:pStyle w:val="Heading4"/>
        <w:keepNext/>
      </w:pPr>
      <w:r>
        <w:rPr>
          <w:rFonts w:ascii="Arial" w:hAnsi="Arial" w:eastAsia="Arial"/>
        </w:rPr>
        <w:t>RF-002 - Validar origem, autenticação e contexto contratual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identificar e autenticar o Gestor remetente e validar se Sistema de Origem, Tipo e versão informados pertencem ao contexto autorizado.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Origem incompatível ou não autorizada é recusada antes da materialização funcional.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RN-029, RN-034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RT-013, RT-048</w:t>
      </w:r>
    </w:p>
    <w:p>
      <w:pPr>
        <w:pStyle w:val="Heading4"/>
        <w:keepNext/>
      </w:pPr>
      <w:r>
        <w:rPr>
          <w:rFonts w:ascii="Arial" w:hAnsi="Arial" w:eastAsia="Arial"/>
        </w:rPr>
        <w:t>RF-003 - Validar contrato, schema e versão do conteúdo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validar Pessoas e Registros contra os contratos e versões aplicáveis, sem reinterpretar silenciosamente conteúdo incompatível.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Conteúdo fora do contrato é rejeitado com diagnóstico compatível com o estágio de processamento.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RN-014, RN-023,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RNF-003, RNF-013; RT: RT-006, RT-007, RT-008, RT-013</w:t>
      </w:r>
    </w:p>
    <w:p>
      <w:pPr>
        <w:pStyle w:val="Heading4"/>
        <w:keepNext/>
      </w:pPr>
      <w:r>
        <w:rPr>
          <w:rFonts w:ascii="Arial" w:hAnsi="Arial" w:eastAsia="Arial"/>
        </w:rPr>
        <w:t>RF-004 - Aceitar Entrega sem fatos e atualização exclusivamente cadastral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aceitar Entregas com zero Benefícios/Serviços quando o envelope e as Pessoas necessárias estiverem válidos.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Uma carga exclusivamente cadastral pode concluir processamento sem criar fatos artificiais.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RT-010, RT-011</w:t>
      </w:r>
    </w:p>
    <w:p>
      <w:pPr>
        <w:pStyle w:val="Heading4"/>
        <w:keepNext/>
      </w:pPr>
      <w:r>
        <w:rPr>
          <w:rFonts w:ascii="Arial" w:hAnsi="Arial" w:eastAsia="Arial"/>
        </w:rPr>
        <w:t>RF-005 - Garantir cobertura das Pessoas referenciadas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assegurar que cada fato da Entrega possua a Pessoa/identificador de origem necessário ao processamento conforme o contrato.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Referências quebradas ou ausentes são identificadas antes da publicação funcional.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RN-003, RN-023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RT-011</w:t>
      </w:r>
    </w:p>
    <w:p>
      <w:pPr>
        <w:pStyle w:val="Heading4"/>
        <w:keepNext/>
      </w:pPr>
      <w:r>
        <w:rPr>
          <w:rFonts w:ascii="Arial" w:hAnsi="Arial" w:eastAsia="Arial"/>
        </w:rPr>
        <w:t>RF-006 - Registrar origem, período, versão, estado e linhagem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metadados suficientes para rastrear cada Entrega, Pessoa e fato ao Gestor, Sistema de Origem, período de referência, contrato/versão e estados de processamento.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Consultas de auditoria conseguem remontar a origem e o encadeamento do processamento.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RNF-021, RNF-022, RNF-024; RT: RT-010, RT-014, RT-019, RT-027, RT-043</w:t>
      </w:r>
    </w:p>
    <w:p>
      <w:pPr>
        <w:pStyle w:val="Heading4"/>
        <w:keepNext/>
      </w:pPr>
      <w:r>
        <w:rPr>
          <w:rFonts w:ascii="Arial" w:hAnsi="Arial" w:eastAsia="Arial"/>
        </w:rPr>
        <w:t>RF-007 - Aplicar idempotência de recepção e processamento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reconhecer reenvio idêntico e impedir duplicação funcional, distinguindo reutilização divergente da mesma chave de idempotência.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Reenvio idêntico não duplica materializações; colisão divergente é tratada como conflito.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RN-023,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RNF-004; RT: RT-015</w:t>
      </w:r>
    </w:p>
    <w:p>
      <w:pPr>
        <w:pStyle w:val="Heading4"/>
        <w:keepNext/>
      </w:pPr>
      <w:r>
        <w:rPr>
          <w:rFonts w:ascii="Arial" w:hAnsi="Arial" w:eastAsia="Arial"/>
        </w:rPr>
        <w:t>RF-008 - Armazenar e recuperar Bronze imutável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preservar os bytes originais da Entrega em camada Bronze durável e recuperável enquanto houver referência válida.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Uma Entrega aceita pode ser reaberta para verificação/reprocessamento sem depender do remetente.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RN-030, RN-031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RNF-032, RNF-033; RT: RT-016, RT-017</w:t>
      </w:r>
    </w:p>
    <w:p>
      <w:pPr>
        <w:pStyle w:val="Heading4"/>
        <w:keepNext/>
      </w:pPr>
      <w:r>
        <w:rPr>
          <w:rFonts w:ascii="Arial" w:hAnsi="Arial" w:eastAsia="Arial"/>
        </w:rPr>
        <w:t>RF-009 - Processar Entregas de forma assíncrona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desacoplar recepção da materialização pesada, permitindo que o processamento continue após o aceite da Entrega.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indisponibilidade momentânea do processamento não invalida uma recepção já confirmada.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RN-023,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RNF-026, RNF-028; RT: RT-018, RT-021, RT-022</w:t>
      </w:r>
    </w:p>
    <w:p>
      <w:pPr>
        <w:pStyle w:val="Heading4"/>
        <w:keepNext/>
      </w:pPr>
      <w:r>
        <w:rPr>
          <w:rFonts w:ascii="Arial" w:hAnsi="Arial" w:eastAsia="Arial"/>
        </w:rPr>
        <w:t>RF-010 - Registrar resultado individual de Pessoas e Registros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o resultado de processamento de cada Pessoa e Registro, incluindo retransmissão, inclusão, versionamento, rejeição ou reabertura quando aplicável.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É possível medir e auditar o destino de cada item processado.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RN-023, RN-024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RT-019</w:t>
      </w:r>
    </w:p>
    <w:p>
      <w:pPr>
        <w:pStyle w:val="Heading3"/>
        <w:keepNext/>
      </w:pPr>
      <w:r>
        <w:rPr>
          <w:rFonts w:ascii="Arial" w:hAnsi="Arial" w:eastAsia="Arial"/>
        </w:rPr>
        <w:t>3.2 Pessoa, identidade e evidência</w:t>
      </w:r>
    </w:p>
    <w:p>
      <w:pPr>
        <w:pStyle w:val="Heading4"/>
        <w:keepNext/>
      </w:pPr>
      <w:r>
        <w:rPr>
          <w:rFonts w:ascii="Arial" w:hAnsi="Arial" w:eastAsia="Arial"/>
        </w:rPr>
        <w:t>RF-011 - Constituir Gold de Pessoas a partir da primeira fonte individualizável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que a primeira fonte válida e individualizável constitua a referência Golden inicial da Pessoa.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primeira fonte não fica em staging indefinido nem exige corroboração prévia de outra origem.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RN-004, RN-009, RN-028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RT-032</w:t>
      </w:r>
    </w:p>
    <w:p>
      <w:pPr>
        <w:pStyle w:val="Heading4"/>
        <w:keepNext/>
      </w:pPr>
      <w:r>
        <w:rPr>
          <w:rFonts w:ascii="Arial" w:hAnsi="Arial" w:eastAsia="Arial"/>
        </w:rPr>
        <w:t>RF-012 - Criar e manter identificador canônico estável da Pessoa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atribuir e manter PESSOA_UUID canônico, preservando histórico e sucessão em operações governadas.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Correções de atributos não trocam o UUID sem operação de identidade explicitamente governada.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RNF-005; RT: RT-023, RT-030</w:t>
      </w:r>
    </w:p>
    <w:p>
      <w:pPr>
        <w:pStyle w:val="Heading4"/>
        <w:keepNext/>
      </w:pPr>
      <w:r>
        <w:rPr>
          <w:rFonts w:ascii="Arial" w:hAnsi="Arial" w:eastAsia="Arial"/>
        </w:rPr>
        <w:t>RF-013 - Resolver CPF válido pela rota determinística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usar CPF válido como rota normal de resolução determinística da identidade, sujeito às travas de consistência cadastral.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CPF compatível resolve a identidade sem score probabilístico; divergência forte não é aceita silenciosamente.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RN-006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RT-024</w:t>
      </w:r>
    </w:p>
    <w:p>
      <w:pPr>
        <w:pStyle w:val="Heading4"/>
        <w:keepNext/>
      </w:pPr>
      <w:r>
        <w:rPr>
          <w:rFonts w:ascii="Arial" w:hAnsi="Arial" w:eastAsia="Arial"/>
        </w:rPr>
        <w:t>RF-014 - Materializar conflito de identidade para tratamento governado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explicitamente conflito quando a resolução automática não puder atribuir uma Pessoa com segurança.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conflito permanece consultável/auditável e não gera atribuição canônica indevida.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RN-006,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RT-024, RT-030</w:t>
      </w:r>
    </w:p>
    <w:p>
      <w:pPr>
        <w:pStyle w:val="Heading4"/>
        <w:keepNext/>
      </w:pPr>
      <w:r>
        <w:rPr>
          <w:rFonts w:ascii="Arial" w:hAnsi="Arial" w:eastAsia="Arial"/>
        </w:rPr>
        <w:t>RF-015 - Preservar Pessoa admitida sem CPF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manter processável a Pessoa cujo contrato admita ausência de CPF, em estado de identidade não resolvido ou pendente.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ausência admitida de CPF não elimina a Pessoa nem cria CPF sintético.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RN-007, RN-024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RNF-023; RT: RT-025, RT-026</w:t>
      </w:r>
    </w:p>
    <w:p>
      <w:pPr>
        <w:pStyle w:val="Heading4"/>
        <w:keepNext/>
      </w:pPr>
      <w:r>
        <w:rPr>
          <w:rFonts w:ascii="Arial" w:hAnsi="Arial" w:eastAsia="Arial"/>
        </w:rPr>
        <w:t>RF-016 - Executar linkage probabilístico sobre identidades pendentes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avaliar, por processo separado, Pessoas elegíveis ao fallback probabilístico.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resultado probabilístico é versionado e não bloqueia a rota determinística.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RN-006, RN-007, RN-024, RN-028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RNF-023, RNF-025; RT: RT-026, RT-028</w:t>
      </w:r>
    </w:p>
    <w:p>
      <w:pPr>
        <w:pStyle w:val="Heading4"/>
        <w:keepNext/>
      </w:pPr>
      <w:r>
        <w:rPr>
          <w:rFonts w:ascii="Arial" w:hAnsi="Arial" w:eastAsia="Arial"/>
        </w:rPr>
        <w:t>RF-017 - Versionar e publicar modelos e runs de linkage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modelo, parâmetros, universo e estado de cada linkage_run, publicando apenas resultados concluídos segundo a governança.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Um replay identifica o modelo/versão utilizados e não mistura versões dentro do mesmo run.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RN-014,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RNF-016, RNF-021, RNF-022, RNF-024; RT: RT-027, RT-029</w:t>
      </w:r>
    </w:p>
    <w:p>
      <w:pPr>
        <w:pStyle w:val="Heading4"/>
        <w:keepNext/>
      </w:pPr>
      <w:r>
        <w:rPr>
          <w:rFonts w:ascii="Arial" w:hAnsi="Arial" w:eastAsia="Arial"/>
        </w:rPr>
        <w:t>RF-018 - Governar correção, fusão e separação de identidades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executar correções estruturais de identidade somente por operações governadas e auditáveis, preservando sucessão e histórico.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Operações inválidas são recusadas antes de mutação parcial e operações válidas deixam trilha completa.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RT-030</w:t>
      </w:r>
    </w:p>
    <w:p>
      <w:pPr>
        <w:pStyle w:val="Heading4"/>
        <w:keepNext/>
      </w:pPr>
      <w:r>
        <w:rPr>
          <w:rFonts w:ascii="Arial" w:hAnsi="Arial" w:eastAsia="Arial"/>
        </w:rPr>
        <w:t>RF-019 - Manter núcleo de identidade separado dos atributos transversais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tratar CPF, nome, data de nascimento e nome da mãe como núcleo de identidade e manter contatos/endereço/outros atributos no modelo transversal apropriado.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Consultas e persistência distinguem núcleo fixo de atributos multivalorados/versionáveis.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RN-008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RNF-005; RT: RT-023, RT-034</w:t>
      </w:r>
    </w:p>
    <w:p>
      <w:pPr>
        <w:pStyle w:val="Heading4"/>
        <w:keepNext/>
      </w:pPr>
      <w:r>
        <w:rPr>
          <w:rFonts w:ascii="Arial" w:hAnsi="Arial" w:eastAsia="Arial"/>
        </w:rPr>
        <w:t>RF-020 - Registrar evidência para atributos transversais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origem, método, temporalidade e evidência aplicáveis a valores transversais, incluindo verificação documental quando admitida.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evidência pode ser auditada sem conferir precedência automática ao órgão que a produziu.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RN-009, RN-010,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RT-034</w:t>
      </w:r>
    </w:p>
    <w:p>
      <w:pPr>
        <w:pStyle w:val="Heading4"/>
        <w:keepNext/>
      </w:pPr>
      <w:r>
        <w:rPr>
          <w:rFonts w:ascii="Arial" w:hAnsi="Arial" w:eastAsia="Arial"/>
        </w:rPr>
        <w:t>RF-021 - Recalcular valor Golden por evidência e temporalidade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selecionar/recompor o valor Golden transversal de acordo com catálogo de evidências, pertinência e temporalidade.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Mudança de evidência pode alterar o valor Golden sem apagar divergências históricas relevantes.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RN-009, RN-010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RT-034</w:t>
      </w:r>
    </w:p>
    <w:p>
      <w:pPr>
        <w:pStyle w:val="Heading3"/>
        <w:keepNext/>
      </w:pPr>
      <w:r>
        <w:rPr>
          <w:rFonts w:ascii="Arial" w:hAnsi="Arial" w:eastAsia="Arial"/>
        </w:rPr>
        <w:t>3.3 Fatos, qualidade e Possibilidades</w:t>
      </w:r>
    </w:p>
    <w:p>
      <w:pPr>
        <w:pStyle w:val="Heading4"/>
        <w:keepNext/>
      </w:pPr>
      <w:r>
        <w:rPr>
          <w:rFonts w:ascii="Arial" w:hAnsi="Arial" w:eastAsia="Arial"/>
        </w:rPr>
        <w:t>RF-022 - Materializar Benefícios e Serviços como fatos administrativos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persistir Benefícios Concedidos e Serviços Prestados em histórico factual próprio, distinto da Gold cadastral.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Fatos mantêm Tipo, origem, temporalidade e identificador estável da origem.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RN-011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RT-031, RT-033</w:t>
      </w:r>
    </w:p>
    <w:p>
      <w:pPr>
        <w:pStyle w:val="Heading4"/>
        <w:keepNext/>
      </w:pPr>
      <w:r>
        <w:rPr>
          <w:rFonts w:ascii="Arial" w:hAnsi="Arial" w:eastAsia="Arial"/>
        </w:rPr>
        <w:t>RF-023 - Preservar fato válido sem atribuição canônica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manter fato finalístico válido mesmo quando PESSOA_UUID estiver ausente por identidade pendente ou conflitada.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fato permanece disponível com sujeito/identificador declarado pela origem.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RN-012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RT-033</w:t>
      </w:r>
    </w:p>
    <w:p>
      <w:pPr>
        <w:pStyle w:val="Heading4"/>
        <w:keepNext/>
      </w:pPr>
      <w:r>
        <w:rPr>
          <w:rFonts w:ascii="Arial" w:hAnsi="Arial" w:eastAsia="Arial"/>
        </w:rPr>
        <w:t>RF-024 - Reprocessar e recompor materializações de forma idempotente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reprocessamento/recomposição controlada de Silver, identidade e Gold sem duplicar estado de negócio.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Replay do mesmo conjunto produz estado funcional equivalente e rastreável.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RN-023, RN-028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RNF-006; RT: RT-020, RT-032, RT-033</w:t>
      </w:r>
    </w:p>
    <w:p>
      <w:pPr>
        <w:pStyle w:val="Heading4"/>
        <w:keepNext/>
      </w:pPr>
      <w:r>
        <w:rPr>
          <w:rFonts w:ascii="Arial" w:hAnsi="Arial" w:eastAsia="Arial"/>
        </w:rPr>
        <w:t>RF-025 - Executar controles de qualidade e registrar seus resultados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aplicar regras de qualidade pertinentes à Entrega, Pessoa e Registro e tornar os resultados observáveis.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Falhas/bloqueios de QC são identificáveis por regra/versão e não desaparecem no agregado.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RN-023,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RT-019, RT-046, RT-064</w:t>
      </w:r>
    </w:p>
    <w:p>
      <w:pPr>
        <w:pStyle w:val="Heading4"/>
        <w:keepNext/>
      </w:pPr>
      <w:r>
        <w:rPr>
          <w:rFonts w:ascii="Arial" w:hAnsi="Arial" w:eastAsia="Arial"/>
        </w:rPr>
        <w:t>RF-026 - Calcular Possibilidades por avaliadores versionados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executar regras de Possibilidade versionadas sobre dados elegíveis, registrando resultado e versão do avaliador.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resultado COMPATIVEL é reproduzível pela versão da regra e não é convertido em fato/concessão.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RN-013, RN-014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RT-038, RT-064</w:t>
      </w:r>
    </w:p>
    <w:p>
      <w:pPr>
        <w:pStyle w:val="Heading4"/>
        <w:keepNext/>
      </w:pPr>
      <w:r>
        <w:rPr>
          <w:rFonts w:ascii="Arial" w:hAnsi="Arial" w:eastAsia="Arial"/>
        </w:rPr>
        <w:t>RF-027 - Separar Possibilidades de Registros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armazenar e consultar Possibilidades em estrutura e endpoint semanticamente distintos dos fatos administrativos.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Nenhuma Possibilidade aparece como Benefício/Serviço ocorrido.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RN-011, RN-013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RT-038</w:t>
      </w:r>
    </w:p>
    <w:p>
      <w:pPr>
        <w:pStyle w:val="Heading4"/>
        <w:keepNext/>
      </w:pPr>
      <w:r>
        <w:rPr>
          <w:rFonts w:ascii="Arial" w:hAnsi="Arial" w:eastAsia="Arial"/>
        </w:rPr>
        <w:t>RF-028 - Expor cobertura, pendência e incerteza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indicadores que permitam distinguir cobertura de identidade, pendências, conflitos e qualidade para interpretação analítica.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BI/serving conseguem diferenciar população resolvida, não resolvida e outras dimensões de incerteza previstas.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RN-024, RN-025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RT-046</w:t>
      </w:r>
    </w:p>
    <w:p>
      <w:pPr>
        <w:pStyle w:val="Heading3"/>
        <w:keepNext/>
      </w:pPr>
      <w:r>
        <w:rPr>
          <w:rFonts w:ascii="Arial" w:hAnsi="Arial" w:eastAsia="Arial"/>
        </w:rPr>
        <w:t>3.4 Referência Territorial</w:t>
      </w:r>
    </w:p>
    <w:p>
      <w:pPr>
        <w:pStyle w:val="Heading4"/>
        <w:keepNext/>
      </w:pPr>
      <w:r>
        <w:rPr>
          <w:rFonts w:ascii="Arial" w:hAnsi="Arial" w:eastAsia="Arial"/>
        </w:rPr>
        <w:t>RF-029 - Receber e armazenar Referência Territorial própria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tratar Referência Territorial como informação temporal própria, distinta de endereço residencial/correspondência.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vínculo territorial registra natureza, situação e origem aplicáveis.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RN-015, RN-016, RN-021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RNF-007; RT: RT-041, RT-043</w:t>
      </w:r>
    </w:p>
    <w:p>
      <w:pPr>
        <w:pStyle w:val="Heading4"/>
        <w:keepNext/>
      </w:pPr>
      <w:r>
        <w:rPr>
          <w:rFonts w:ascii="Arial" w:hAnsi="Arial" w:eastAsia="Arial"/>
        </w:rPr>
        <w:t>RF-030 - Selecionar Referência Territorial por precedência explícita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aplicar a precedência territorial definida entre declaração explícita, evidência e recência.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seleção territorial é determinística e rastreável aos candidatos avaliados.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RN-015, RN-017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RT-041, RT-043</w:t>
      </w:r>
    </w:p>
    <w:p>
      <w:pPr>
        <w:pStyle w:val="Heading4"/>
        <w:keepNext/>
      </w:pPr>
      <w:r>
        <w:rPr>
          <w:rFonts w:ascii="Arial" w:hAnsi="Arial" w:eastAsia="Arial"/>
        </w:rPr>
        <w:t>RF-031 - Não inferir residência por local de atendimento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não deve transformar automaticamente endereço de equipamento/atendimento em Referência Territorial da Pessoa.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Apenas situações explicitamente admitidas pela origem/regra podem produzir referência territorial.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RN-016, RN-021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RNF-007; RT: RT-042</w:t>
      </w:r>
    </w:p>
    <w:p>
      <w:pPr>
        <w:pStyle w:val="Heading4"/>
        <w:keepNext/>
      </w:pPr>
      <w:r>
        <w:rPr>
          <w:rFonts w:ascii="Arial" w:hAnsi="Arial" w:eastAsia="Arial"/>
        </w:rPr>
        <w:t>RF-032 - Preservar snapshot territorial utilizado pelo fato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preservar, quando aplicável, o recorte territorial associado ao fato no momento relevante.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Recomposição cadastral posterior não reescreve silenciosamente o contexto territorial histórico do fato.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RN-016, RN-017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RNF-007; RT: RT-043</w:t>
      </w:r>
    </w:p>
    <w:p>
      <w:pPr>
        <w:pStyle w:val="Heading3"/>
        <w:keepNext/>
      </w:pPr>
      <w:r>
        <w:rPr>
          <w:rFonts w:ascii="Arial" w:hAnsi="Arial" w:eastAsia="Arial"/>
        </w:rPr>
        <w:t>3.5 APIs, acesso e auditoria</w:t>
      </w:r>
    </w:p>
    <w:p>
      <w:pPr>
        <w:pStyle w:val="Heading4"/>
        <w:keepNext/>
      </w:pPr>
      <w:r>
        <w:rPr>
          <w:rFonts w:ascii="Arial" w:hAnsi="Arial" w:eastAsia="Arial"/>
        </w:rPr>
        <w:t>RF-033 - Resolver identidade por endpoint autorizado sem criar UUID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resolução autorizada de identidade já existente sem criar Pessoa nova como efeito colateral da consulta.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Consulta sem identidade resolvida retorna resultado negativo/pendente conforme contrato e não materializa UUID.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RN-022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RNF-029; RT: RT-035, RT-036</w:t>
      </w:r>
    </w:p>
    <w:p>
      <w:pPr>
        <w:pStyle w:val="Heading4"/>
        <w:keepNext/>
      </w:pPr>
      <w:r>
        <w:rPr>
          <w:rFonts w:ascii="Arial" w:hAnsi="Arial" w:eastAsia="Arial"/>
        </w:rPr>
        <w:t>RF-034 - Consultar Pessoa por UUID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consulta individual da Pessoa canônica aos consumidores autorizados.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Resposta identifica a Pessoa e seus campos permitidos sem exigir acesso direto às tabelas Gold.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RN-026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RNF-029; RT: RT-035, RT-037</w:t>
      </w:r>
    </w:p>
    <w:p>
      <w:pPr>
        <w:pStyle w:val="Heading4"/>
        <w:keepNext/>
      </w:pPr>
      <w:r>
        <w:rPr>
          <w:rFonts w:ascii="Arial" w:hAnsi="Arial" w:eastAsia="Arial"/>
        </w:rPr>
        <w:t>RF-035 - Projetar Pessoa conforme credencial, recurso e política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projetar somente os campos autorizados para a credencial, incluindo exceções negativas setoriais aplicáveis.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Duas credenciais com políticas distintas podem receber projeções distintas da mesma Pessoa.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RN-019, RN-020, RN-021,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RNF-029; RT: RT-035, RT-037</w:t>
      </w:r>
    </w:p>
    <w:p>
      <w:pPr>
        <w:pStyle w:val="Heading4"/>
        <w:keepNext/>
      </w:pPr>
      <w:r>
        <w:rPr>
          <w:rFonts w:ascii="Arial" w:hAnsi="Arial" w:eastAsia="Arial"/>
        </w:rPr>
        <w:t>RF-036 - Consultar Registros por Pessoa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consulta dos fatos administrativos associados à Pessoa conforme autorização e cardinalidade do endpoint.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Registros retornados preservam Tipo/origem/temporalidade e não incluem Possibilidades.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RN-026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RT-038</w:t>
      </w:r>
    </w:p>
    <w:p>
      <w:pPr>
        <w:pStyle w:val="Heading4"/>
        <w:keepNext/>
      </w:pPr>
      <w:r>
        <w:rPr>
          <w:rFonts w:ascii="Arial" w:hAnsi="Arial" w:eastAsia="Arial"/>
        </w:rPr>
        <w:t>RF-037 - Consultar Possibilidades separadamente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consulta de Possibilidades em endpoint próprio e com ressalva semântica adequada.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Resposta não mistura Possibilidades com Registros nem as apresenta como direito/concessão.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RN-013, RN-018, RN-026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RT-038</w:t>
      </w:r>
    </w:p>
    <w:p>
      <w:pPr>
        <w:pStyle w:val="Heading4"/>
        <w:keepNext/>
      </w:pPr>
      <w:r>
        <w:rPr>
          <w:rFonts w:ascii="Arial" w:hAnsi="Arial" w:eastAsia="Arial"/>
        </w:rPr>
        <w:t>RF-038 - Aplicar autorização, scopes, recursos e restrições negativas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autorizar cada operação pela credencial, scope e recurso antes da leitura ou escrita funcional.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Operação não autorizada é negada sem depender de vínculo prévio da Pessoa com o Gestor consumidor.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RN-019, RN-020, RN-021,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RNF-029; RT: RT-035, RT-037, RT-048</w:t>
      </w:r>
    </w:p>
    <w:p>
      <w:pPr>
        <w:pStyle w:val="Heading4"/>
        <w:keepNext/>
      </w:pPr>
      <w:r>
        <w:rPr>
          <w:rFonts w:ascii="Arial" w:hAnsi="Arial" w:eastAsia="Arial"/>
        </w:rPr>
        <w:t>RF-039 - Auditar acessos individuais e em lote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gerar trilha de auditoria para consultas protegidas e atos sensíveis, com os identificadores mínimos definidos.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É possível atribuir o acesso à credencial/Gestor/rota/recurso sem armazenar segredos ou payload desnecessário.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RNF-030; RT: RT-039</w:t>
      </w:r>
    </w:p>
    <w:p>
      <w:pPr>
        <w:pStyle w:val="Heading4"/>
        <w:keepNext/>
      </w:pPr>
      <w:r>
        <w:rPr>
          <w:rFonts w:ascii="Arial" w:hAnsi="Arial" w:eastAsia="Arial"/>
        </w:rPr>
        <w:t>RF-040 - Aplicar controle de taxa por credencial e classe de endpoint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limitar consumo conforme credencial e classe do endpoint após autenticação.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Rate limit não usa identidade civil como chave e respeita a configuração de proxy confiável do ambiente.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RNF-029, RNF-031; RT: RT-040</w:t>
      </w:r>
    </w:p>
    <w:p>
      <w:pPr>
        <w:pStyle w:val="Heading3"/>
        <w:keepNext/>
      </w:pPr>
      <w:r>
        <w:rPr>
          <w:rFonts w:ascii="Arial" w:hAnsi="Arial" w:eastAsia="Arial"/>
        </w:rPr>
        <w:t>3.6 Serving, BI e tempestividade</w:t>
      </w:r>
    </w:p>
    <w:p>
      <w:pPr>
        <w:pStyle w:val="Heading4"/>
        <w:keepNext/>
      </w:pPr>
      <w:r>
        <w:rPr>
          <w:rFonts w:ascii="Arial" w:hAnsi="Arial" w:eastAsia="Arial"/>
        </w:rPr>
        <w:t>RF-041 - Publicar contratos Serving estáveis para consumo analítico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views serving.v_bi_* como interface estável para o modelo analítico.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Alteração incompatível da interface Serving é versionada e comunicada.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RN-025,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RNF-010, RNF-013; RT: RT-044</w:t>
      </w:r>
    </w:p>
    <w:p>
      <w:pPr>
        <w:pStyle w:val="Heading4"/>
        <w:keepNext/>
      </w:pPr>
      <w:r>
        <w:rPr>
          <w:rFonts w:ascii="Arial" w:hAnsi="Arial" w:eastAsia="Arial"/>
        </w:rPr>
        <w:t>RF-042 - Disponibilizar BI municipal de Pessoas, fatos, qualidade e território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alimentar o BI da Fase 1 com dimensões e métricas previstas para Pessoas, fatos, qualidade, cobertura, Possibilidades e território.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Painéis conseguem representar o escopo municipal sem depender de consulta individual nominativa.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RN-024, RN-025,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RNF-010, RNF-011, RNF-013; RT: RT-044, RT-045, RT-046</w:t>
      </w:r>
    </w:p>
    <w:p>
      <w:pPr>
        <w:pStyle w:val="Heading4"/>
        <w:keepNext/>
      </w:pPr>
      <w:r>
        <w:rPr>
          <w:rFonts w:ascii="Arial" w:hAnsi="Arial" w:eastAsia="Arial"/>
        </w:rPr>
        <w:t>RF-043 - Manter consulta individual fora do Power BI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manter consultas individualizadas nos endpoints operacionais autorizados, e não no modelo semântico padrão do BI.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PBIP padrão não é usado como mecanismo de consulta nominativa de Pessoa.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RN-026,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RT-047</w:t>
      </w:r>
    </w:p>
    <w:p>
      <w:pPr>
        <w:pStyle w:val="Heading4"/>
        <w:keepNext/>
      </w:pPr>
      <w:r>
        <w:rPr>
          <w:rFonts w:ascii="Arial" w:hAnsi="Arial" w:eastAsia="Arial"/>
        </w:rPr>
        <w:t>RF-044 - Medir tempestividade e atraso de recebimento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calcular/fornecer elementos para medir SLA de recebimento por Tipo/versão e período de referência.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Indicadores distinguem prazo esperado, recebimento e atraso segundo regra versionada.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RN-027, RN-025, RN-034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RNF-020; RT: RT-058</w:t>
      </w:r>
    </w:p>
    <w:p>
      <w:pPr>
        <w:pStyle w:val="Heading3"/>
        <w:keepNext/>
      </w:pPr>
      <w:r>
        <w:rPr>
          <w:rFonts w:ascii="Arial" w:hAnsi="Arial" w:eastAsia="Arial"/>
        </w:rPr>
        <w:t>3.7 Governança operacional e evolução</w:t>
      </w:r>
    </w:p>
    <w:p>
      <w:pPr>
        <w:pStyle w:val="Heading4"/>
        <w:keepNext/>
      </w:pPr>
      <w:r>
        <w:rPr>
          <w:rFonts w:ascii="Arial" w:hAnsi="Arial" w:eastAsia="Arial"/>
        </w:rPr>
        <w:t>RF-045 - Versionar contratos, regras, QC, SLA e avaliadores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manter versões imutáveis/auditáveis quando houver mudança material de contrato ou regra de negócio operacional.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Histórico continua interpretável pela versão que estava vigente quando o evento foi processado.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RN-014, RN-029,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RNF-016; RT: RT-005, RT-006, RT-007, RT-008, RT-029</w:t>
      </w:r>
    </w:p>
    <w:p>
      <w:pPr>
        <w:pStyle w:val="Heading4"/>
        <w:keepNext/>
      </w:pPr>
      <w:r>
        <w:rPr>
          <w:rFonts w:ascii="Arial" w:hAnsi="Arial" w:eastAsia="Arial"/>
        </w:rPr>
        <w:t>RF-046 - Executar retenção, consolidação e expurgo somente por política aprovada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configurar e executar ciclo de retenção/expurgo por classe de ativo apenas quando a governança correspondente estiver habilitada.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Rotina desabilitada não expurga dados; ativação é parametrizada, auditável e preserva dependências necessárias.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RN-031,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RNF-033; RT: RT-017, RT-051</w:t>
      </w:r>
    </w:p>
    <w:p>
      <w:pPr>
        <w:pStyle w:val="Heading4"/>
        <w:keepNext/>
      </w:pPr>
      <w:r>
        <w:rPr>
          <w:rFonts w:ascii="Arial" w:hAnsi="Arial" w:eastAsia="Arial"/>
        </w:rPr>
        <w:t>RF-047 - Disponibilizar saúde, status e telemetria operacional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expor sinais de saúde, execução, backlog e falhas necessários à operação e ao aceite técnico.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Operação consegue distinguir indisponibilidade de componente, atraso de pipeline e falha funcional.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RN-023, RN-029, RN-033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RNF-009; RT: RT-053, RT-054, RT-061, RT-062, RT-063, RT-064</w:t>
      </w:r>
    </w:p>
    <w:p>
      <w:pPr>
        <w:pStyle w:val="Heading4"/>
        <w:keepNext/>
      </w:pPr>
      <w:r>
        <w:rPr>
          <w:rFonts w:ascii="Arial" w:hAnsi="Arial" w:eastAsia="Arial"/>
        </w:rPr>
        <w:t>RF-048 - Orquestrar jobs run-once e janelas exclusivas sem bloquear recepção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permitir agendamento externo dos jobs recorrentes e coordenar janelas exclusivas do corpus quando exigidas, mantendo a recepção Bronze disponível.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Jobs críticos respeitam gates/leases e não observam corpus parcialmente mutável.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RN-023, RN-028, RN-033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RNF-026, RNF-028; RT: RT-022, RT-055, RT-056</w:t>
      </w:r>
    </w:p>
    <w:p>
      <w:pPr>
        <w:pStyle w:val="Heading4"/>
        <w:keepNext/>
      </w:pPr>
      <w:r>
        <w:rPr>
          <w:rFonts w:ascii="Arial" w:hAnsi="Arial" w:eastAsia="Arial"/>
        </w:rPr>
        <w:t>RF-049 - Incorporar novos Gestores e Tipos por configuração e versionamento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permitir incluir nova origem, Tipo de Benefício ou Tipo de Serviço por contratos, catálogos, autorização e configuração versionados.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expansão não exige redesenho estrutural nem quebra histórico de versões anteriores.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RN-034,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RNF-001, RNF-010, RNF-013, RNF-018, RNF-019; RT: RT-001, RT-003, RT-006, RT-007, RT-008, RT-009, RT-044</w:t>
      </w:r>
    </w:p>
    <w:p>
      <w:pPr>
        <w:pStyle w:val="Heading4"/>
        <w:keepNext/>
      </w:pPr>
      <w:r>
        <w:rPr>
          <w:rFonts w:ascii="Arial" w:hAnsi="Arial" w:eastAsia="Arial"/>
        </w:rPr>
        <w:t>RF-050 - Operar a Fase 1 sem dependência de biometria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Todas as funções normativas da Fase 1 devem operar sem biometria; eventual mecanismo biométrico futuro deve entrar como evolução específica.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Ingestão, identidade, Gold, APIs e BI funcionam integralmente sem dado ou componente biométrico.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RN-036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RT-065</w:t>
      </w:r>
    </w:p>
    <w:p>
      <w:pPr>
        <w:pStyle w:val="Heading2"/>
        <w:keepNext/>
      </w:pPr>
      <w:r>
        <w:rPr>
          <w:rFonts w:ascii="Arial" w:hAnsi="Arial" w:eastAsia="Arial"/>
        </w:rPr>
        <w:t>4. Fora de escopo funcional</w:t>
      </w:r>
    </w:p>
    <w:p>
      <w:pPr>
        <w:pStyle w:val="ListBullet"/>
      </w:pPr>
      <w:r>
        <w:rPr>
          <w:rFonts w:ascii="Arial" w:hAnsi="Arial" w:eastAsia="Arial"/>
        </w:rPr>
        <w:t>Decisão administrativa de concessão/suspensão/cancelamento de benefício.</w:t>
      </w:r>
    </w:p>
    <w:p>
      <w:pPr>
        <w:pStyle w:val="ListBullet"/>
      </w:pPr>
      <w:r>
        <w:rPr>
          <w:rFonts w:ascii="Arial" w:hAnsi="Arial" w:eastAsia="Arial"/>
        </w:rPr>
        <w:t>Edição do cadastro transacional dos Gestores pela Jornada.</w:t>
      </w:r>
    </w:p>
    <w:p>
      <w:pPr>
        <w:pStyle w:val="ListBullet"/>
      </w:pPr>
      <w:r>
        <w:rPr>
          <w:rFonts w:ascii="Arial" w:hAnsi="Arial" w:eastAsia="Arial"/>
        </w:rPr>
        <w:t>Consulta nominativa pelo Power BI.</w:t>
      </w:r>
    </w:p>
    <w:p>
      <w:pPr>
        <w:pStyle w:val="ListBullet"/>
      </w:pPr>
      <w:r>
        <w:rPr>
          <w:rFonts w:ascii="Arial" w:hAnsi="Arial" w:eastAsia="Arial"/>
        </w:rPr>
        <w:t>Biometria como requisito de funcionamento da Fase 1.</w:t>
      </w:r>
    </w:p>
    <w:p>
      <w:pPr>
        <w:pStyle w:val="ListBullet"/>
      </w:pPr>
      <w:r>
        <w:rPr>
          <w:rFonts w:ascii="Arial" w:hAnsi="Arial" w:eastAsia="Arial"/>
        </w:rPr>
        <w:t>SLA definitivo de Produção antes das medições de HML.</w:t>
      </w:r>
    </w:p>
    <w:p>
      <w:pPr>
        <w:pStyle w:val="Heading2"/>
        <w:keepNext/>
      </w:pPr>
      <w:r>
        <w:rPr>
          <w:rFonts w:ascii="Arial" w:hAnsi="Arial" w:eastAsia="Arial"/>
        </w:rPr>
        <w:t>5. Controle de versão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 w:val="true"/>
        </w:trPr>
        <w:tc>
          <w:tcPr>
            <w:tcW w:type="dxa" w:w="87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Versão</w:t>
            </w:r>
          </w:p>
        </w:tc>
        <w:tc>
          <w:tcPr>
            <w:tcW w:type="dxa" w:w="13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Data</w:t>
            </w:r>
          </w:p>
        </w:tc>
        <w:tc>
          <w:tcPr>
            <w:tcW w:type="dxa" w:w="405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Síntese</w:t>
            </w:r>
          </w:p>
        </w:tc>
        <w:tc>
          <w:tcPr>
            <w:tcW w:type="dxa" w:w="36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Incorporação</w:t>
            </w:r>
          </w:p>
        </w:tc>
      </w:tr>
      <w:tr>
        <w:trPr>
          <w:cantSplit w:val="true"/>
        </w:trPr>
        <w:tc>
          <w:tcPr>
            <w:tcW w:type="dxa" w:w="87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1.0</w:t>
            </w:r>
          </w:p>
        </w:tc>
        <w:tc>
          <w:tcPr>
            <w:tcW w:type="dxa" w:w="133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03/09/2026</w:t>
            </w:r>
          </w:p>
        </w:tc>
        <w:tc>
          <w:tcPr>
            <w:tcW w:type="dxa" w:w="405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Baseline inicial de 50 RF derivados dos 36 RN e da Especificação Técnica v3.62.</w:t>
            </w:r>
          </w:p>
        </w:tc>
        <w:tc>
          <w:tcPr>
            <w:tcW w:type="dxa" w:w="360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Solution Engenharia v3.98</w:t>
            </w:r>
          </w:p>
        </w:tc>
      </w:tr>
    </w:tbl>
    <w:p>
      <w:pPr>
        <w:spacing w:after="0"/>
      </w:pPr>
    </w:p>
    <w:p>
      <w:pPr>
        <w:pStyle w:val="Heading2"/>
        <w:keepNext/>
        <w:pageBreakBefore/>
      </w:pPr>
      <w:r>
        <w:rPr>
          <w:rFonts w:ascii="Arial" w:hAnsi="Arial" w:eastAsia="Arial"/>
        </w:rPr>
        <w:t>Requisitos funcionais incorporados na v1.1</w:t>
      </w:r>
    </w:p>
    <w:p>
      <w:pPr>
        <w:pStyle w:val="Heading3"/>
        <w:keepNext/>
      </w:pPr>
      <w:r>
        <w:rPr>
          <w:rFonts w:ascii="Arial" w:hAnsi="Arial" w:eastAsia="Arial"/>
        </w:rPr>
        <w:t>RF-051 - Executar calibrador e avaliador com paralelismo quando vantajoso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calibrador e o avaliador devem explorar paralelismo sempre que a operação puder ser executada independentemente e houver evidência de ganho de desempenho no ambiente-alvo, sem alterar determinismo, reprodutibilidade, isolamento do corpus ou resultados estatísticos.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execução paralela deve produzir resultado semanticamente equivalente à execução serial para a mesma versão de regras, corpus e semente/configuração. O grau de paralelismo deve ser limitado e configurável. Paralelismo que degrade desempenho, aumente contenção ou comprometa reprodutibilidade não deve ser habilitado por padrão. A decisão serial/paralela deve ser sustentada por benchmark reproduzível no ambiente-alvo ou equivalente.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RN-023, RN-024, RN-028,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RNF-015, RNF-020, RNF-021, RNF34-A, RNF34-B; RT: RT-057, RT-058</w:t>
      </w:r>
    </w:p>
    <w:p>
      <w:pPr>
        <w:pStyle w:val="Heading3"/>
        <w:keepNext/>
      </w:pPr>
      <w:r>
        <w:rPr>
          <w:rFonts w:ascii="Arial" w:hAnsi="Arial" w:eastAsia="Arial"/>
        </w:rPr>
        <w:t>RF-052 - Usar frequências agregadas oficiais do IBGE como evidência de blocking quando aplicável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mecanismo de otimização de blocking deve poder usar dados oficiais agregados do IBGE, versionados e com proveniência verificável, para melhorar discriminação/priorização de combinações de nome, prenome, sobrenome e último nome sempre que a fonte estiver disponível, tecnicamente compatível e demonstrar ganho mensurável sem reduzir recall além dos limites aprovados.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ausência ou indisponibilidade do IBGE não pode tornar o Linkage incorreto: o sistema deve operar com fallback versionado. O uso do IBGE deve registrar versão/fingerprint da fonte e nunca tratá-la como verdade individual nem usar CPF da fonte externa. Sempre que uma frequência oficial aplicável estiver disponível, o otimizador deve considerá-la como evidência candidata e registrar se ela foi usada ou por que foi descartada.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RN-014, RN-023,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RNF-016, RNF-021, RNF-027, RNF34-A; RT: RT-027, RT-028, RT-029, RT-057</w:t>
      </w:r>
    </w:p>
    <w:p>
      <w:pPr>
        <w:pStyle w:val="Heading3"/>
        <w:keepNext/>
      </w:pPr>
      <w:r>
        <w:rPr>
          <w:rFonts w:ascii="Arial" w:hAnsi="Arial" w:eastAsia="Arial"/>
        </w:rPr>
        <w:t>RF-053 - Considerar componentes de nome e nascimento no blocking otimizado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universo candidato deve permitir regras de blocking que considerem separadamente </w:t>
      </w:r>
      <w:r>
        <w:rPr>
          <w:rFonts w:ascii="Arial" w:hAnsi="Arial" w:eastAsia="Arial"/>
          <w:b/>
        </w:rPr>
        <w:t>nome completo, prenome, sobrenome, último nome</w:t>
      </w:r>
      <w:r>
        <w:rPr>
          <w:rFonts w:ascii="Arial" w:hAnsi="Arial" w:eastAsia="Arial"/>
        </w:rPr>
        <w:t xml:space="preserve"> e os componentes </w:t>
      </w:r>
      <w:r>
        <w:rPr>
          <w:rFonts w:ascii="Arial" w:hAnsi="Arial" w:eastAsia="Arial"/>
          <w:b/>
        </w:rPr>
        <w:t>dia, mês e ano</w:t>
      </w:r>
      <w:r>
        <w:rPr>
          <w:rFonts w:ascii="Arial" w:hAnsi="Arial" w:eastAsia="Arial"/>
        </w:rPr>
        <w:t xml:space="preserve"> da data de nascimento, inclusive combinações entre esses atributos. O otimizador de blocking deve avaliar as combinações candidatas e selecionar a melhor política segundo critérios versionados de recall, redução do espaço de pares, custo, tamanho de blocos, ganho incremental, dependência/redundância e risco de falso vínculo. Quando existirem frequências oficiais do IBGE aplicáveis aos componentes nominais, elas devem integrar a avaliação das combinações candidatas.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política selecionada deve identificar explicitamente os atributos/passes utilizados, a versão do otimizador, o corpus/evidência, as métricas de comparação e o motivo da seleção. Nenhuma combinação pode ser escolhida apenas por correlação ou apenas por reduzir candidatos; recall de vínculos verdadeiros e risco de falso vínculo são gates obrigatórios.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RN-006, RN-014, RN-023, RN-024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RNF-016, RNF-021, RNF-025, RNF-027, RNF34-A; RT: RT-027, RT-028, RT-029, RT-057</w:t>
      </w:r>
    </w:p>
    <w:p>
      <w:pPr>
        <w:pStyle w:val="Heading3"/>
        <w:keepNext/>
      </w:pPr>
      <w:r>
        <w:rPr>
          <w:rFonts w:ascii="Arial" w:hAnsi="Arial" w:eastAsia="Arial"/>
        </w:rPr>
        <w:t>RF-054 - Preservar a semântica oficial dos nomes do IBGE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Os dados de nomes e sobrenomes provenientes do IBGE devem preservar a grafia e a frequência oficiais publicadas. A preparação técnica pode aplicar somente transformações necessárias à comparação computacional, como tratamento versionado de caixa, espaços e acentuação, sem colapsar grafias distintas por regras fonéticas, duplicação de letras ou equivalências inventadas não presentes na fonte oficial.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valor original e sua frequência oficial devem permanecer recuperáveis para auditoria. Toda representação técnica derivada deve registrar versão da transformação e permitir rastreamento até o valor original. Mudanças de normalização exigem nova versão e regressões antes de uso real.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RN-014, RN-024,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RNF-016, RNF-021, RNF-030, RNF34-A; RT: RT-029, RT-049, RT-057</w:t>
      </w:r>
    </w:p>
    <w:p>
      <w:pPr>
        <w:pStyle w:val="Heading3"/>
        <w:keepNext/>
      </w:pPr>
      <w:r>
        <w:rPr>
          <w:rFonts w:ascii="Arial" w:hAnsi="Arial" w:eastAsia="Arial"/>
        </w:rPr>
        <w:t>RF-055 - Reutilizar no avaliador a regra dinâmica versionada produzida pelo calibrador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Toda política dinâmica de blocking utilizada pelo calibrador deve ser materializada como artefato versionado e imutável de regras/configuração e o avaliador deve consumir exatamente essa mesma versão, sem reconstrução semântica independente.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relatório de avaliação deve registrar o identificador/fingerprint da política recebida do calibrador e falhar fechado quando a política estiver ausente, incompatível ou divergente. Calibrador e avaliador executados sobre o mesmo corpus e política devem concordar sobre a elegibilidade de cada par candidato.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RN-014,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RNF-016, RNF-021, RNF34-A; RT: RT-027, RT-029, RT-057</w:t>
      </w:r>
    </w:p>
    <w:p>
      <w:pPr>
        <w:pStyle w:val="Heading3"/>
        <w:keepNext/>
      </w:pPr>
      <w:r>
        <w:rPr>
          <w:rFonts w:ascii="Arial" w:hAnsi="Arial" w:eastAsia="Arial"/>
        </w:rPr>
        <w:t>RF-056 - Evitar snapshots redundantes da base oficial do IBGE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Antes de baixar e publicar um novo snapshot de dados oficiais do IBGE, o processo de aquisição deve verificar se a origem mudou. </w:t>
      </w:r>
      <w:r>
        <w:rPr>
          <w:rFonts w:ascii="Consolas" w:hAnsi="Consolas" w:eastAsia="Consolas"/>
        </w:rPr>
        <w:t>Content-Length</w:t>
      </w:r>
      <w:r>
        <w:rPr>
          <w:rFonts w:ascii="Arial" w:hAnsi="Arial" w:eastAsia="Arial"/>
        </w:rPr>
        <w:t xml:space="preserve"> deve ser usado como pré-verificação barata quando disponível, combinado preferencialmente com validadores HTTP como </w:t>
      </w:r>
      <w:r>
        <w:rPr>
          <w:rFonts w:ascii="Consolas" w:hAnsi="Consolas" w:eastAsia="Consolas"/>
        </w:rPr>
        <w:t>ETag</w:t>
      </w:r>
      <w:r>
        <w:rPr>
          <w:rFonts w:ascii="Arial" w:hAnsi="Arial" w:eastAsia="Arial"/>
        </w:rPr>
        <w:t xml:space="preserve"> e </w:t>
      </w:r>
      <w:r>
        <w:rPr>
          <w:rFonts w:ascii="Consolas" w:hAnsi="Consolas" w:eastAsia="Consolas"/>
        </w:rPr>
        <w:t>Last-Modified</w:t>
      </w:r>
      <w:r>
        <w:rPr>
          <w:rFonts w:ascii="Arial" w:hAnsi="Arial" w:eastAsia="Arial"/>
        </w:rPr>
        <w:t>. Igualdade apenas do número de bytes não é evidência suficiente para declarar o conteúdo idêntico.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Quando validadores fortes ou combinação confiável de metadados provarem que a origem não mudou, o download deve ser evitado. Quando os metadados forem ausentes, inconclusivos ou divergentes, o conteúdo deve ser baixado para área temporária e comparado por SHA-256 com o snapshot vigente. Um novo snapshot imutável só pode ser publicado/versionado quando o fingerprint do conteúdo efetivamente mudar. A proveniência deve registrar URI, tamanho, validadores disponíveis, SHA-256 e instante de aquisição/verificação.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RN-014, RN-023,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RNF-020, RNF-021, RNF34-A, RNF34-B; RT: RT-057</w:t>
      </w:r>
    </w:p>
    <w:p>
      <w:pPr>
        <w:pStyle w:val="Heading2"/>
        <w:keepNext/>
      </w:pPr>
      <w:r>
        <w:rPr>
          <w:rFonts w:ascii="Arial" w:hAnsi="Arial" w:eastAsia="Arial"/>
        </w:rPr>
        <w:t>Governança dos requisitos incorporados na v1.1</w:t>
      </w:r>
    </w:p>
    <w:p>
      <w:r>
        <w:rPr>
          <w:rFonts w:ascii="Arial" w:hAnsi="Arial" w:eastAsia="Arial"/>
        </w:rPr>
        <w:t>Os RF-051 a RF-056 não autorizam ativação probabilística em Produção. Otimização, dados IBGE e paralelismo somente podem integrar uma política real após regressões unitárias/integradas, avaliação estatística independente e aprovação institucional conforme a issue #31.</w:t>
      </w:r>
    </w:p>
    <w:sectPr w:rsidR="00FC693F" w:rsidRPr="0006063C" w:rsidSect="00034616">
      <w:footerReference w:type="default" r:id="rId9"/>
      <w:pgSz w:w="11906" w:h="16838"/>
      <w:pgMar w:top="935" w:right="1020" w:bottom="93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Arial" w:hAnsi="Arial" w:eastAsia="Arial"/>
      <w:b w:val="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b w:val="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