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Anexo de Modelo Físico e DER</w:t>
      </w:r>
    </w:p>
    <w:p>
      <w:pPr>
        <w:jc w:val="center"/>
      </w:pPr>
      <w:r>
        <w:t>Jornada do Cidadão — Fase 1 v3.62</w:t>
      </w:r>
    </w:p>
    <w:p>
      <w:pPr>
        <w:jc w:val="center"/>
      </w:pPr>
      <w:r>
        <w:t>Versão 1.39 • agosto de 2026</w:t>
      </w:r>
    </w:p>
    <w:p/>
    <w:p>
      <w:pPr>
        <w:pStyle w:val="Heading1"/>
      </w:pPr>
      <w:r>
        <w:t>1. Princípios</w:t>
      </w:r>
    </w:p>
    <w:p>
      <w:pPr>
        <w:pStyle w:val="ListBullet"/>
      </w:pPr>
      <w:r>
        <w:t>Natureza é dado em Referência/Silver/Serving; Gold permanece especializada em Benefício Concedido e Serviço Prestado.</w:t>
      </w:r>
    </w:p>
    <w:p>
      <w:pPr>
        <w:pStyle w:val="ListBullet"/>
      </w:pPr>
      <w:r>
        <w:t>Novo Tipo e Gestor não exigem DDL. Novo atributo transversal usa o catálogo; atributos SINGLE e MULTI com regra de chave já suportada não alteram gold.pessoa nem exigem nova tabela.</w:t>
      </w:r>
    </w:p>
    <w:p>
      <w:pPr>
        <w:pStyle w:val="ListBullet"/>
      </w:pPr>
      <w:r>
        <w:t>O SLA de recebimento é versionado em ref.tipo_registro_versao.</w:t>
      </w:r>
    </w:p>
    <w:p>
      <w:pPr>
        <w:pStyle w:val="ListBullet"/>
      </w:pPr>
      <w:r>
        <w:t>Pessoa não é Natureza factual. A Entrega externa usa envelope único; pessoas.jsonl é sempre processado, independentemente de registros.jsonl conter fatos.</w:t>
      </w:r>
    </w:p>
    <w:p>
      <w:pPr>
        <w:pStyle w:val="ListBullet"/>
      </w:pPr>
      <w:r>
        <w:t>Power BI e APIs consomem views autorizadas; tabela Serving comum não é contrato de consumo.</w:t>
      </w:r>
    </w:p>
    <w:p>
      <w:pPr>
        <w:pStyle w:val="Heading1"/>
      </w:pPr>
      <w:r>
        <w:t>2. DER físico</w:t>
      </w:r>
    </w:p>
    <w:p>
      <w:pPr>
        <w:jc w:val="center"/>
      </w:pPr>
      <w:r/>
    </w:p>
    <w:p>
      <w:pPr>
        <w:jc w:val="center"/>
      </w:pPr>
      <w:r/>
    </w:p>
    <w:p>
      <w:r>
        <w:t>Leitura: ref.tipo_registro_versao fornece contrato, medida e SLA; ingestao.entrega fornece recebido_em; serving.v_bi_atrasos cruza esses elementos com o marco factual do Registro e deriva a situação operacional.</w:t>
      </w:r>
    </w:p>
    <w:p>
      <w:pPr>
        <w:pStyle w:val="Heading1"/>
        <w:pageBreakBefore/>
      </w:pPr>
      <w:r>
        <w:t>3. Dicionário físico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Objeto</w:t>
            </w:r>
          </w:p>
        </w:tc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Responsabilidade / conteúdo essencial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ref.tipo_registro</w:t>
            </w:r>
          </w:p>
        </w:tc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gestor_id, natureza, codigo CHAR(4), nome e ativo.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ref.tipo_registro_versao</w:t>
            </w:r>
          </w:p>
        </w:tc>
        <w:tc>
          <w:tcPr>
            <w:tcW w:type="dxa" w:w="6912"/>
            <w:vAlign w:val="top"/>
          </w:tcPr>
          <w:p>
            <w:r>
              <w:t>versão, vigência, schema_pessoa_ref/schema_registro_ref + SHA-256 aprovado, regras, tipo_medida, regime_vigencia, janela permitida de concessão, QC e SLA. Versão ATIVA de BENEFICIO exige regime PRAZO_DETERMINADO ou PRAZO_INDETERMINADO; SERVICO exige NAO_APLICAVEL.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ingestao.entrega</w:t>
            </w:r>
          </w:p>
        </w:tc>
        <w:tc>
          <w:tcPr>
            <w:tcW w:type="dxa" w:w="6912"/>
            <w:vAlign w:val="top"/>
          </w:tcPr>
          <w:p>
            <w:r>
              <w:t>envelope único v2; contexto de Tipo opcional quando sem fatos; SHA-256, data_referencia, recebido_em e status.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ingestao.lote</w:t>
            </w:r>
          </w:p>
        </w:tc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controle interno de fracionamento/completude; não faz parte do contrato do Gestor.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bronze.entrega_arquivo</w:t>
            </w:r>
          </w:p>
        </w:tc>
        <w:tc>
          <w:tcPr>
            <w:tcW w:type="dxa" w:w="6912"/>
            <w:vAlign w:val="top"/>
          </w:tcPr>
          <w:p>
            <w:r>
              <w:t>Metadados do ZIP original imutável: objeto_chave NVARCHAR(1024), payload_sha256 CHAR(64), tamanho_bytes BIGINT, nome/content-type/recebido_em. Os bytes não residem no SQL Server; a chave aponta para armazenamento Bronze externo content-addressed.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silver.pessoa_observacao</w:t>
            </w:r>
          </w:p>
        </w:tc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núcleo de identidade observado e source_as_of.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silver.pessoa_atributo_observacao</w:t>
            </w:r>
          </w:p>
        </w:tc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atributos transversais declarados/comprovados com evidência e provenance.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silver.registro_observacao</w:t>
            </w:r>
          </w:p>
        </w:tc>
        <w:tc>
          <w:tcPr>
            <w:tcW w:type="dxa" w:w="6912"/>
            <w:vAlign w:val="top"/>
          </w:tcPr>
          <w:p>
            <w:r>
              <w:t>fato comum BENEFICIO|SERVICO. Para Benefício: data_inicio_concessao, data_fim_concessao, data_evento_concessao e valor_concedido; para Serviço: data_hora_servico/unidade_servico.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gold.pessoa / gold.pessoa_atributo</w:t>
            </w:r>
          </w:p>
        </w:tc>
        <w:tc>
          <w:tcPr>
            <w:tcW w:type="dxa" w:w="6912"/>
            <w:vAlign w:val="top"/>
          </w:tcPr>
          <w:p>
            <w:r>
              <w:t>núcleo Golden e atributos SCD2 comprovados; BASELINE_FONTE_UNICA continua Gold sem corroboração independente.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t>gold.beneficio_concedido / gold.servico_prestado</w:t>
            </w:r>
          </w:p>
        </w:tc>
        <w:tc>
          <w:tcPr>
            <w:tcW w:type="dxa" w:w="6912"/>
            <w:vAlign w:val="top"/>
          </w:tcPr>
          <w:p>
            <w:r>
              <w:t>fatos Golden especializados por Natureza; Benefício Concedido mantém vocabulário semântico próprio de concessão.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serving.registro_integrado</w:t>
            </w:r>
          </w:p>
        </w:tc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persistência comum com FKs/Checks de coerência.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serving.v_bi_atrasos</w:t>
            </w:r>
          </w:p>
        </w:tc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latência total, prazo, marco, dias_atraso, status/faixa e dimensões para BI.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serving.v_bi_catalogo</w:t>
            </w:r>
          </w:p>
        </w:tc>
        <w:tc>
          <w:tcPr>
            <w:tcW w:type="dxa" w:w="6912"/>
            <w:vAlign w:val="top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catálogo de Tipo/versão incluindo configuração do SLA.</w:t>
            </w:r>
          </w:p>
        </w:tc>
      </w:tr>
      <w:tr>
        <w:tc>
          <w:tcPr>
            <w:tcW w:type="dxa" w:w="6912"/>
          </w:tcPr>
          <w:p>
            <w:r>
              <w:t>ref.subprefeitura / ref.distrito</w:t>
            </w:r>
          </w:p>
        </w:tc>
        <w:tc>
          <w:tcPr>
            <w:tcW w:type="dxa" w:w="6912"/>
          </w:tcPr>
          <w:p>
            <w:r>
              <w:t>versões observadas de código/nome e relação Distrito→Subprefeitura; sem “corrente” inferido pela ordem de chegada.</w:t>
            </w:r>
          </w:p>
        </w:tc>
      </w:tr>
      <w:tr>
        <w:tc>
          <w:tcPr>
            <w:tcW w:type="dxa" w:w="6912"/>
          </w:tcPr>
          <w:p>
            <w:r>
              <w:t>silver.referencia_territorial_observacao</w:t>
            </w:r>
          </w:p>
        </w:tc>
        <w:tc>
          <w:tcPr>
            <w:tcW w:type="dxa" w:w="6912"/>
          </w:tcPr>
          <w:p>
            <w:r>
              <w:t>FK única para pessoa_atributo_observacao; natureza_referencia; fonte_semantica; subprefeitura_id/distrito_id opcionais em par; origem_geografia; referencia_malha; resolvido_em. Preserva snapshot e proveniência.</w:t>
            </w:r>
          </w:p>
        </w:tc>
      </w:tr>
      <w:tr>
        <w:tc>
          <w:tcPr>
            <w:tcW w:type="dxa" w:w="6912"/>
          </w:tcPr>
          <w:p>
            <w:r>
              <w:t>ingestao.item_processado</w:t>
            </w:r>
          </w:p>
        </w:tc>
        <w:tc>
          <w:tcPr>
            <w:tcW w:type="dxa" w:w="6912"/>
          </w:tcPr>
          <w:p>
            <w:r>
              <w:t>resultado por Pessoa/Registro (INCLUIDO, VERSIONADO, RETRANSMITIDO, EXCLUIDO, REABERTO), versão/hash e referência; trilha analítica da ingestão.</w:t>
            </w:r>
          </w:p>
        </w:tc>
      </w:tr>
      <w:tr>
        <w:tc>
          <w:tcPr>
            <w:tcW w:type="dxa" w:w="6912"/>
          </w:tcPr>
          <w:p>
            <w:r>
              <w:t>IX_gold_pessoa_linkage_nascimento</w:t>
            </w:r>
          </w:p>
        </w:tc>
        <w:tc>
          <w:tcPr>
            <w:tcW w:type="dxa" w:w="6912"/>
          </w:tcPr>
          <w:p>
            <w:r>
              <w:t>Índice coberto em gold.pessoa(data_nascimento,pessoa_uuid) INCLUDE(nome_completo,nome_mae), obrigatório para o blocking exato do Linkage sem scan integral da Gold.</w:t>
            </w:r>
          </w:p>
        </w:tc>
      </w:tr>
      <w:tr>
        <w:tc>
          <w:tcPr>
            <w:tcW w:type="dxa" w:w="6912"/>
          </w:tcPr>
          <w:p>
            <w:r>
              <w:t>serving.v_bi_qualidade_envios</w:t>
            </w:r>
          </w:p>
        </w:tc>
        <w:tc>
          <w:tcPr>
            <w:tcW w:type="dxa" w:w="6912"/>
          </w:tcPr>
          <w:p>
            <w:r>
              <w:t>Qualidade operacional por Entrega/Gestor/Sistema/Tipo: volumetria, processamento, retransmissão, novas versões, falha e zero fatos no período; sem CPF.</w:t>
            </w:r>
          </w:p>
        </w:tc>
      </w:tr>
      <w:tr>
        <w:tc>
          <w:tcPr>
            <w:tcW w:type="dxa" w:w="6912"/>
          </w:tcPr>
          <w:p>
            <w:r>
              <w:t>serving.v_bi_qualidade_identidade_origem</w:t>
            </w:r>
          </w:p>
        </w:tc>
        <w:tc>
          <w:tcPr>
            <w:tcW w:type="dxa" w:w="6912"/>
          </w:tcPr>
          <w:p>
            <w:r>
              <w:t>Qualidade de identidade por Gestor/Sistema de Origem, incluindo cobertura de CPF por flag, UUID, conflito, nascimento 01/01 e SEM_CANDIDATO_NO_BLOCO_DATA_NASCIMENTO; nunca expõe o CPF.</w:t>
            </w:r>
          </w:p>
        </w:tc>
      </w:tr>
      <w:tr>
        <w:tc>
          <w:tcPr>
            <w:tcW w:type="dxa" w:w="6912"/>
          </w:tcPr>
          <w:p>
            <w:r>
              <w:t>identidade.identity_map</w:t>
            </w:r>
          </w:p>
        </w:tc>
        <w:tc>
          <w:tcPr>
            <w:tcW w:type="dxa" w:w="6912"/>
          </w:tcPr>
          <w:p>
            <w:r>
              <w:t>CPF/identificador→UUID com estado ATIVO|EM_CONFLITO|ENCERRADO, motivo e instante; mapa conflitado não resolve identidade.</w:t>
            </w:r>
          </w:p>
        </w:tc>
      </w:tr>
      <w:tr>
        <w:tc>
          <w:tcPr>
            <w:tcW w:type="dxa" w:w="6912"/>
          </w:tcPr>
          <w:p>
            <w:r>
              <w:t>identidade.identity_map_estado_evento</w:t>
            </w:r>
          </w:p>
        </w:tc>
        <w:tc>
          <w:tcPr>
            <w:tcW w:type="dxa" w:w="6912"/>
          </w:tcPr>
          <w:p>
            <w:r>
              <w:t>Histórico append-only das transições do identificador, incluindo conflito e reativação por correção governada.</w:t>
            </w:r>
          </w:p>
        </w:tc>
      </w:tr>
      <w:tr>
        <w:tc>
          <w:tcPr>
            <w:tcW w:type="dxa" w:w="6912"/>
          </w:tcPr>
          <w:p>
            <w:r>
              <w:t>identidade.correcao_identidade / item</w:t>
            </w:r>
          </w:p>
        </w:tc>
        <w:tc>
          <w:tcPr>
            <w:tcW w:type="dxa" w:w="6912"/>
          </w:tcPr>
          <w:p>
            <w:r>
              <w:t>Cabeçalho da decisão institucional + itens por observação, grupo, UUID anterior/destino, ato, justificativa e correlation_id; aplicado é imutável.</w:t>
            </w:r>
          </w:p>
        </w:tc>
      </w:tr>
      <w:tr>
        <w:tc>
          <w:tcPr>
            <w:tcW w:type="dxa" w:w="6912"/>
          </w:tcPr>
          <w:p>
            <w:r>
              <w:t>serving.v_bi_*_pessoas</w:t>
            </w:r>
          </w:p>
        </w:tc>
        <w:tc>
          <w:tcPr>
            <w:tcW w:type="dxa" w:w="6912"/>
          </w:tcPr>
          <w:p>
            <w:r>
              <w:t>Views exclusivamente agregadas para DISTINCTCOUNT de Pessoas sem transportar pessoa_uuid ao modelo semântico padrão.</w:t>
            </w:r>
          </w:p>
        </w:tc>
      </w:tr>
    </w:tbl>
    <w:p>
      <w:pPr>
        <w:pStyle w:val="Heading1"/>
      </w:pPr>
      <w:r>
        <w:t>4. Domínio do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Campo</w:t>
            </w:r>
          </w:p>
        </w:tc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Domínio</w:t>
            </w:r>
          </w:p>
        </w:tc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Semântica</w:t>
            </w:r>
          </w:p>
        </w:tc>
      </w:tr>
      <w:tr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monitorar_atraso</w:t>
            </w:r>
          </w:p>
        </w:tc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0|1</w:t>
            </w:r>
          </w:p>
        </w:tc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Ativa/desativa o cálculo operacional para a versão.</w:t>
            </w:r>
          </w:p>
        </w:tc>
      </w:tr>
      <w:tr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prazo_recebimento_dias</w:t>
            </w:r>
          </w:p>
        </w:tc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0..3650</w:t>
            </w:r>
          </w:p>
        </w:tc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Dias corridos admitidos entre o marco e o recebimento.</w:t>
            </w:r>
          </w:p>
        </w:tc>
      </w:tr>
      <w:tr>
        <w:tc>
          <w:tcPr>
            <w:tcW w:type="dxa" w:w="4608"/>
          </w:tcPr>
          <w:p>
            <w:pPr>
              <w:spacing w:before="0" w:after="0" w:line="216" w:lineRule="auto"/>
            </w:pPr>
            <w:r>
              <w:rPr>
                <w:sz w:val="14"/>
              </w:rPr>
              <w:t>marco_atraso_codigo</w:t>
            </w:r>
          </w:p>
        </w:tc>
        <w:tc>
          <w:tcPr>
            <w:tcW w:type="dxa" w:w="4608"/>
          </w:tcPr>
          <w:p>
            <w:r>
              <w:t>DATA_EVENTO_CONCESSAO | DATA_INICIO_CONCESSAO | DATA_FIM_CONCESSAO | DATA_HORA_SERVICO | SOURCE_AS_OF</w:t>
            </w:r>
          </w:p>
        </w:tc>
        <w:tc>
          <w:tcPr>
            <w:tcW w:type="dxa" w:w="4608"/>
          </w:tcPr>
          <w:p>
            <w:r>
              <w:t>Campo factual que inicia a contagem. Os códigos de Benefício são semanticamente específicos de concessão.</w:t>
            </w:r>
          </w:p>
        </w:tc>
      </w:tr>
    </w:tbl>
    <w:p>
      <w:pPr>
        <w:spacing w:before="0" w:after="0" w:line="216" w:lineRule="auto"/>
      </w:pPr>
      <w:r>
        <w:rPr>
          <w:sz w:val="15"/>
        </w:rPr>
        <w:t>Status derivados: NO_PRAZO, EM_ATRASO, SEM_MARCO e DATA_FUTURA. SEM_MARCO/DATA_FUTURA são qualidade, não atraso.</w:t>
      </w:r>
    </w:p>
    <w:p>
      <w:pPr>
        <w:pStyle w:val="Heading1"/>
        <w:keepNext w:val="0"/>
        <w:spacing w:before="60" w:after="40"/>
      </w:pPr>
      <w:r>
        <w:rPr>
          <w:sz w:val="19"/>
        </w:rPr>
        <w:t>5. Fonte normativa</w:t>
      </w:r>
    </w:p>
    <w:p>
      <w:pPr>
        <w:spacing w:before="0" w:after="0" w:line="216" w:lineRule="auto"/>
      </w:pPr>
      <w:r>
        <w:rPr>
          <w:sz w:val="15"/>
        </w:rPr>
        <w:t>O DDL executável permanece em Solution/database/Jornada_Fase1.sql. Este anexo é uma leitura arquitetural do DDL e não o substitui.</w:t>
      </w:r>
    </w:p>
    <w:p>
      <w:pPr>
        <w:pStyle w:val="Heading2"/>
      </w:pPr>
      <w:r>
        <w:t>Controle de acesso e auditoria - extensão vigente</w:t>
      </w:r>
    </w:p>
    <w:p>
      <w:r>
        <w:t>A v3.48 preserva a Pessoa compartilhada em âmbito municipal e a fronteira por recurso da v3.47. O modelo físico passa a explicitar a semântica do Benefício Concedido: datas e valor usam nomes próprios de concessão, e ref.tipo_registro_versao governa regime_vigencia e a janela permitida de concessão.</w:t>
      </w:r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>
        <w:t>Figura — Controle de acesso, contratos versionados, auditoria e identidade governada v3.48.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t>Objeto</w:t>
            </w:r>
          </w:p>
        </w:tc>
        <w:tc>
          <w:tcPr>
            <w:tcW w:type="dxa" w:w="4608"/>
          </w:tcPr>
          <w:p>
            <w:r>
              <w:t>Campos-chave v3.33</w:t>
            </w:r>
          </w:p>
        </w:tc>
        <w:tc>
          <w:tcPr>
            <w:tcW w:type="dxa" w:w="4608"/>
          </w:tcPr>
          <w:p>
            <w:r>
              <w:t>Papel</w:t>
            </w:r>
          </w:p>
        </w:tc>
      </w:tr>
      <w:tr>
        <w:tc>
          <w:tcPr>
            <w:tcW w:type="dxa" w:w="4608"/>
          </w:tcPr>
          <w:p>
            <w:r>
              <w:t>controle.credencial_api</w:t>
            </w:r>
          </w:p>
        </w:tc>
        <w:tc>
          <w:tcPr>
            <w:tcW w:type="dxa" w:w="4608"/>
          </w:tcPr>
          <w:p>
            <w:r>
              <w:t>credencial_id + Gestor + tipo_registro_id + scopes + secret_ref</w:t>
            </w:r>
          </w:p>
        </w:tc>
        <w:tc>
          <w:tcPr>
            <w:tcW w:type="dxa" w:w="4608"/>
          </w:tcPr>
          <w:p>
            <w:r>
              <w:t>Credencial institucional/técnica; sem lista de finalidades declaradas. Credenciais de Tipo permanecem limitadas ao próprio recurso.</w:t>
            </w:r>
          </w:p>
        </w:tc>
      </w:tr>
      <w:tr>
        <w:tc>
          <w:tcPr>
            <w:tcW w:type="dxa" w:w="4608"/>
          </w:tcPr>
          <w:p>
            <w:r>
              <w:t>controle.api_evento</w:t>
            </w:r>
          </w:p>
        </w:tc>
        <w:tc>
          <w:tcPr>
            <w:tcW w:type="dxa" w:w="4608"/>
          </w:tcPr>
          <w:p>
            <w:r>
              <w:t>credencial_id, gestor_id, correlation_id, rota, status, pessoa_uuid, recurso_codigo, agente_cpf_hash opcional</w:t>
            </w:r>
          </w:p>
        </w:tc>
        <w:tc>
          <w:tcPr>
            <w:tcW w:type="dxa" w:w="4608"/>
          </w:tcPr>
          <w:p>
            <w:r>
              <w:t>Trilha objetiva de uma requisição; pessoa_uuid é preenchido quando existe um único alvo e lotes usam api_evento_pessoa.</w:t>
            </w:r>
          </w:p>
        </w:tc>
      </w:tr>
      <w:tr>
        <w:tc>
          <w:tcPr>
            <w:tcW w:type="dxa" w:w="4608"/>
          </w:tcPr>
          <w:p>
            <w:r>
              <w:t>controle.api_evento_pessoa</w:t>
            </w:r>
          </w:p>
        </w:tc>
        <w:tc>
          <w:tcPr>
            <w:tcW w:type="dxa" w:w="4608"/>
          </w:tcPr>
          <w:p>
            <w:r>
              <w:t>api_evento_id + pessoa_uuid</w:t>
            </w:r>
          </w:p>
        </w:tc>
        <w:tc>
          <w:tcPr>
            <w:tcW w:type="dxa" w:w="4608"/>
          </w:tcPr>
          <w:p>
            <w:r>
              <w:t>Relação 1:N usada para POST /pessoas/consulta e demais operações multi-Pessoa.</w:t>
            </w:r>
          </w:p>
        </w:tc>
      </w:tr>
      <w:tr>
        <w:tc>
          <w:tcPr>
            <w:tcW w:type="dxa" w:w="4608"/>
          </w:tcPr>
          <w:p>
            <w:r>
              <w:t>controle.restricao_projecao_jornada_versao</w:t>
            </w:r>
          </w:p>
        </w:tc>
        <w:tc>
          <w:tcPr>
            <w:tcW w:type="dxa" w:w="4608"/>
          </w:tcPr>
          <w:p>
            <w:r>
              <w:t>regra/versão + gestor responsável/consumidor + alvo validado + vigência</w:t>
            </w:r>
          </w:p>
        </w:tc>
        <w:tc>
          <w:tcPr>
            <w:tcW w:type="dxa" w:w="4608"/>
          </w:tcPr>
          <w:p>
            <w:r>
              <w:t>Exceções negativas versionadas da projeção; ausência de ATIVA = projeção municipal padrão.</w:t>
            </w:r>
          </w:p>
        </w:tc>
      </w:tr>
    </w:tbl>
    <w:p>
      <w:pPr>
        <w:pStyle w:val="Heading2"/>
      </w:pPr>
      <w:r>
        <w:t>6. Evolução física acumulada até v3.33</w:t>
      </w:r>
    </w:p>
    <w:p>
      <w:r>
        <w:t>A v3.33 consolida REFERENCIA_TERRITORIAL como única persistência geográfica da referência da Pessoa, sem ressuscitar a antiga entidade autônoma Território de Referência. ENDERECO_RESIDENCIAL permanece atributo cadastral de endereço de residência e, quando usado como fallback DOMICILIAR, gera diretamente um snapshot em silver.referencia_territorial_observacao. A antiga silver.endereco_residencial_geografia_observacao e sua view são migradas e removidas. Distrito é unidade territorial e Subprefeitura é o órgão que administra vários Distritos. O snapshot registra natureza do vínculo, proveniência da geografia e a observação de atributo que o originou. Referência explícita da fonte prevalece; na ausência, ENDERECO_RESIDENCIAL pode formar fallback DOMICILIAR.</w:t>
      </w:r>
    </w:p>
    <w:p>
      <w:r>
        <w:t>A autorização por relacionamento prévio foi removida do modelo físico e da aplicação; não existe mais consulta AllHaveRelationshipAsync para credenciais BENEFICIO/SERVICO. A fronteira técnica de Tipo é expressa por tipo_registro_id, scopes, códigos de recurso autorizados e schema. O plano a homologar em HML passa a ser o das projeções/filtros de restrição e não um filtro populacional por Pessoa.</w:t>
      </w:r>
    </w:p>
    <w:p>
      <w:r>
        <w:t>Evolução física v3.48 — silver.registro_observacao, gold.beneficio_concedido e serving.registro_integrado usam data_inicio_concessao, data_fim_concessao, data_evento_concessao e valor_concedido. ref.tipo_registro_versao adiciona regime_vigencia, data_inicio_permitida_concessao e data_fim_permitida_concessao. A migração renomeia colunas legadas de forma guardada; regras de ativação impedem Benefício ATIVO sem regime definido e Serviço com regime/janela de concessão indevidos.</w:t>
      </w:r>
    </w:p>
    <w:p>
      <w:pPr>
        <w:jc w:val="center"/>
      </w:pPr>
      <w:r/>
    </w:p>
    <w:p>
      <w:r>
        <w:t>O modelo não reintroduz submodelo territorial, cache de logradouro ou view de Território de Referência. ref.subprefeitura e ref.distrito mantêm versões observadas da hierarquia sem presumir vigência jurídica pela ordem de ingestão. A geografia selecionada é persistida somente em silver.referencia_territorial_observacao, com origem, referência de malha quando disponível e instante de resolução. Fatos Gold/Serving guardam a FK do snapshot selecionado para preservar a geografia histórica usada na materialização.</w:t>
      </w:r>
    </w:p>
    <w:p>
      <w:r>
        <w:t>Fluxo de preenchimento v3.39: ENDERECO_RESIDENCIAL e REFERENCIA_TERRITORIAL chegam com situacaoGeografia explícita. Quando RESOLVIDA, o Gestor fornece Distrito/Subprefeitura e referenciaMalha e a Jornada persiste origem_geografia=ORIGEM. Não existe resolução Pessoa-a-Pessoa pela PRODAM no fluxo da Fase 1; o domínio ENRIQUECIMENTO_PRODAM permanece somente para compatibilidade/auditoria histórica de upgrades anteriores.</w:t>
      </w:r>
    </w:p>
    <w:p>
      <w:pPr/>
      <w:r>
        <w:t>Evolução v3.26 — identidade de origem, versões e confirmação: ref.sistema_origem identifica o sistema finalístico; silver.pessoa_origem possui UNIQUE(sistema_origem_id,codigo_pessoa_origem); silver.registro_origem possui UNIQUE(sistema_origem_id,codigo_registro_origem) e fixa Natureza/Tipo. silver.pessoa_observacao e silver.registro_observacao recebem versao_interna e conteudo_hash calculados pela Jornada. Conteúdo idêntico não cria versão: ingestao.item_processado registra RETRANSMITIDO e a identidade de origem atualiza ultima_recepcao_em e, monotonicamente, ultima_referencia_recebida. Gold factual usa gold.beneficio_concedido e gold.servico_prestado, com estados VIGENTE, HISTORICO, RETIFICADO e EXCLUIDO; as views padrão filtram VIGENTE.</w:t>
      </w:r>
    </w:p>
    <w:p>
      <w:pPr/>
      <w:r>
        <w:t>Evolução v3.27 — qualidade e observabilidade: serving.v_bi_qualidade_beneficios_concedidos e serving.v_bi_qualidade_servicos_prestados projetam flags de qualidade por fato VIGENTE para agregação Secretaria/Gestor × Tipo. ingestao.item_processado recebe o índice IX_item_processado_lote_classe(lote_id, classe_item), apoiando o caminho item → lote → entrega. resultado=VERSIONADO continua sendo categoria operacional; ALTERACAO/RETIFICACAO permanecem em silver.registro_observacao.operacao.</w:t>
      </w:r>
    </w:p>
    <w:p>
      <w:pPr>
        <w:pStyle w:val="Heading2"/>
      </w:pPr>
      <w:r>
        <w:t>7. Evolução física v3.33</w:t>
      </w:r>
    </w:p>
    <w:p>
      <w:pPr>
        <w:pStyle w:val="Heading2"/>
      </w:pPr>
      <w:r>
        <w:t>A v3.33 elimina o dual-write geográfico residencial: a migração copia idempotentemente snapshots antigos para silver.referencia_territorial_observacao e remove silver.endereco_residencial_geografia_observacao e silver.v_pessoa_geografia_residencial. A view silver.v_pessoa_referencia_territorial mantém a precedência referência explícita &gt; evidência COMPROVADO &gt; recência. Gold/Serving continuam guardando a FK exata da referência selecionada. A camada de visualização territorial usa somente esse snapshot; ENDERECO_RESIDENCIAL não é consumido diretamente pelo BI para mapas ou segmentação.</w:t>
      </w:r>
    </w:p>
    <w:p>
      <w:pPr/>
      <w:r>
        <w:t>A política de CPF do munícipe na Fase 1 não usa criptografia aplicacional de coluna/tokenização nas camadas operacionais que precisam de resolução determinística. Essa decisão não altera TLS, proteção de banco/disco/backup nem a proibição de CPF no Power BI e logs. O CPF opcional do agente segue regra distinta: é dado declarado pela finalística, validado e pseudonimizado por HMAC-SHA-256 antes da persistência em controle.api_evento; a Jornada não autentica o agente nem verifica a associação usuário-CPF.</w:t>
      </w:r>
    </w:p>
    <w:p>
      <w:pPr/>
      <w:r>
        <w:t>Evolução física v3.35 — coordenação e linkage_run: a consistência do corpus passa a ser garantida pelo gate serial da aplicação, sem requisito de IsolationLevel.Snapshot. identidade.linkage_run_item permanece inalterada como lista auditável do universo do run. A coluna pessoa_observacao_id_max_snapshot é migrada idempotentemente para pessoa_observacao_id_high_watermark por sp_rename quando existir em bases v3.34; instalações novas criam somente o novo nome. A mudança é nominal/semântica e preserva o valor histórico.</w:t>
      </w:r>
    </w:p>
    <w:p>
      <w:pPr/>
      <w:r>
        <w:t>O DDL adiciona IX_gold_pessoa_linkage_nascimento para cobrir o filtro/ordenação do blocking V1. Não é introduzido segundo passe nesta revisão: a necessidade será calibrada com a taxa SEM_CANDIDATO_NO_BLOCO_DATA_NASCIMENTO por origem. As views serving.v_bi_qualidade_envios e serving.v_bi_qualidade_identidade_origem sustentam as novas páginas de qualidade sem publicar CPF.</w:t>
      </w:r>
    </w:p>
    <w:p>
      <w:pPr>
        <w:pStyle w:val="Heading2"/>
      </w:pPr>
      <w:r>
        <w:t>Extensão ingestao.lote — resiliência v3.33</w:t>
      </w:r>
    </w:p>
    <w:p>
      <w:r>
        <w:t>Campos operacionais: tentativa_count, recuperacao_count, ultima_tentativa_em, proxima_tentativa_em, lease_id, lease_owner, lease_adquirido_em, heartbeat_em, lease_expira_em e poison_em. O domínio de status inclui POISON. ck_lote_lease exige lease completo somente em VALIDANDO/PROCESSANDO; demais estados não mantêm posse. IX_lote_fila_retry apoia seleção da fila e IX_lote_lease_expira apoia recuperação de leases vencidos.</w:t>
      </w:r>
    </w:p>
    <w:p>
      <w:r>
        <w:t>Evolução física v3.37. bronze.entrega_arquivo permanece sem payload_zip VARBINARY(MAX) e mantém objeto_chave/payload_sha256/tamanho_bytes. O DDL de upgrade foi tornado reiniciável: cada coluna é criada/normalizada independentemente, payload_zip legado com linhas permanece fail-closed e colunas só se tornam NOT NULL após verificação explícita de completude.</w:t>
      </w:r>
    </w:p>
    <w:p>
      <w:r>
        <w:t>A chave lógica é relativa e estável (sha256/ab/cd/&lt;sha256&gt;.zip). A raiz física pertence à configuração do runtime e não é gravada no banco. O objeto não muda de diretório após processamento. API e manutenção coordenam referência/expurgo com application lock por SHA; o índice IX_bronze_entrega_arquivo_objeto_chave suporta a confirmação de referências. Backup/restore deve manter recuperável todo objeto referenciado por backup SQL ainda restaurável.</w:t>
      </w:r>
    </w:p>
    <w:p>
      <w:pPr>
        <w:pStyle w:val="Heading2"/>
      </w:pPr>
      <w:r>
        <w:t>Atualização física v1.17 / v3.39</w:t>
      </w:r>
    </w:p>
    <w:p>
      <w:r>
        <w:t>silver.referencia_territorial_observacao passa a exigir situacao_geografia. RESOLVIDA exige Distrito/Subprefeitura, referencia_malha e origem ORIGEM no fluxo novo; FORA_MUNICIPIO, SEM_ENDERECO_APTO e NAO_RESOLVIDA_ORIGEM não armazenam geografia.</w:t>
      </w:r>
    </w:p>
    <w:p>
      <w:r>
        <w:t>ingestao.item_processado recebe consolidado_em e é complementada por ingestao.item_processado_resumo e ingestao.sp_consolidar_expurgar_item_processado.</w:t>
      </w:r>
    </w:p>
    <w:p>
      <w:r>
        <w:t>controle.bronze_manutencao_estado persiste o cursor justo do GC e controle.bronze_manutencao_ciclo registra métricas por ciclo.</w:t>
      </w:r>
    </w:p>
    <w:p>
      <w:r>
        <w:t>controle.modo_carga_inicial registra a janela administrativa de primeira carga.</w:t>
      </w:r>
    </w:p>
    <w:p>
      <w:r>
        <w:t>Serving acrescenta v_bi_territorializacao, v_bi_manutencao_bronze, v_bi_carga_inicial e v_bi_ingestao_itens_resumo.</w:t>
      </w:r>
    </w:p>
    <w:p>
      <w:pPr>
        <w:pStyle w:val="Heading1"/>
      </w:pPr>
      <w:r>
        <w:t>Atualização física v1.17 / v3.39</w:t>
      </w:r>
    </w:p>
    <w:p>
      <w:r>
        <w:t>O cache continua processo-local, mas a imutabilidade do contrato não depende mais dele. ref.gestor_pessoa_versao.pessoa_schema_sha256 e ref.tipo_registro_versao.schema_pessoa_sha256/schema_registro_sha256 congelam o digest aprovado. Versão ATIVA exige hash e API/Processor recusam bytes físicos diferentes, inclusive depois de restart/deploy.</w:t>
      </w:r>
    </w:p>
    <w:p>
      <w:r>
        <w:t>A rotina de retenção de item_processado permanece no mesmo modelo físico, porém a configuração operacional passa a exigir DetailRetentionDays &gt; 0 quando Enabled=true.</w:t>
      </w:r>
    </w:p>
    <w:p>
      <w:r>
        <w:t>O DDL mantém ENRIQUECIMENTO_PRODAM apenas como valor histórico compatível; novas gravações da v3.39 usam ORIGEM.</w:t>
      </w:r>
    </w:p>
    <w:p>
      <w:pPr>
        <w:pStyle w:val="Heading2"/>
      </w:pPr>
      <w:r>
        <w:t>8. Evolução física v3.45 — conflito global e correção governada</w:t>
      </w:r>
    </w:p>
    <w:p>
      <w:pPr>
        <w:pStyle w:val="Heading2"/>
      </w:pPr>
      <w:r>
        <w:t>identidade.identity_map passa a declarar estado ATIVO, EM_CONFLITO ou ENCERRADO, com estado_motivo e estado_em. identidade.identity_map_estado_evento registra transições de modo append-only. CPF_COMPARTILHADO_SUSPEITO e CPF_NUCLEO_EXISTENTE_INDISPONIVEL suspendem o mapa, e a resolução pública retorna CONFLITO sem UUID enquanto o identificador permanecer ambíguo.</w:t>
      </w:r>
    </w:p>
    <w:p>
      <w:pPr>
        <w:pStyle w:val="Heading2"/>
      </w:pPr>
      <w:r>
        <w:t>Silver continua sendo a camada de evidência/proveniência, mas a v3.45 remove o gate de identidade da existência factual: registro válido em conflito também materializa Gold/Serving com pessoa_uuid NULL e estado CONFLITO_IDENTIDADE. A projeção individual continua restrita aos fatos ATRIBUIDA.</w:t>
      </w:r>
    </w:p>
    <w:p>
      <w:pPr>
        <w:pStyle w:val="Heading2"/>
      </w:pPr>
      <w:r>
        <w:t>identidade.correcao_identidade e identidade.correcao_identidade_item modelam a correção/fusão/separação auditável. A procedure identidade.sp_aplicar_correcao_identidade exige mapa CPF EM_CONFLITO, agrupamento explícito de todas as observações portadoras do CPF, grupo titular, ato e justificativa; preserva vínculo anterior/destino, fecha o mapa antigo, cria novo mapa ATIVO para o titular e atualiza a atribuição canônica dos fatos já materializados sem reabrir lotes. Não existe escolha automática de titular nem CRUD genérico de UUID.</w:t>
      </w:r>
    </w:p>
    <w:p>
      <w:pPr>
        <w:pStyle w:val="Heading1"/>
      </w:pPr>
      <w:r>
        <w:t>9. Evolução física v3.45 - sujeito declarado no fato</w:t>
      </w:r>
    </w:p>
    <w:p>
      <w:r>
        <w:t>gold.beneficio_concedido, gold.servico_prestado e serving.registro_integrado preservam pessoa_origem_id, sistema_origem_id, codigo_pessoa_origem, cpf_declarado/cpf_ausente_motivo e estado_atribuicao_identidade. pessoa_uuid torna-se anulável e representa exclusivamente a atribuição canônica corrente.</w:t>
      </w:r>
    </w:p>
    <w:p>
      <w:pPr>
        <w:pStyle w:val="ListBullet"/>
      </w:pPr>
      <w:r>
        <w:t>Fato em CONFLITO_IDENTIDADE permanece vigente na Gold com pessoa_uuid NULL.</w:t>
      </w:r>
    </w:p>
    <w:p>
      <w:pPr>
        <w:pStyle w:val="ListBullet"/>
      </w:pPr>
      <w:r>
        <w:t>Histórico v3.45: serving.v_bi_fatos_identidade agregava fatos/valor por Gestor, Natureza e estado. Na v3.46 essa view é removida e o estado passa às próprias views factuais.</w:t>
      </w:r>
    </w:p>
    <w:p>
      <w:pPr>
        <w:pStyle w:val="ListBullet"/>
      </w:pPr>
      <w:r>
        <w:t>identidade.caso_conflito_identidade e itens permitem correção governada independente de CPF.</w:t>
      </w:r>
    </w:p>
    <w:p>
      <w:pPr>
        <w:pStyle w:val="ListBullet"/>
      </w:pPr>
      <w:r>
        <w:t>qualidade.divergencia_gestor materializa o canal institucional de retorno à finalística.</w:t>
      </w:r>
    </w:p>
    <w:p>
      <w:pPr>
        <w:pStyle w:val="ListBullet"/>
      </w:pPr>
      <w:r>
        <w:t>serving.v_pessoa publica somente identidade.pessoa em estado ATIVO.</w:t>
      </w:r>
    </w:p>
    <w:p>
      <w:pPr>
        <w:pStyle w:val="Heading1"/>
      </w:pPr>
      <w:r>
        <w:t>Atualização v1.26 / modelo físico v3.48</w:t>
      </w:r>
    </w:p>
    <w:p>
      <w:r>
        <w:t>A v3.48 elimina a ambiguidade factual de Benefício Concedido e torna versionadas as regras estruturais de vigência/janela. Instalações existentes preservam dados por renomeação idempotente; versões de Benefício migradas sem regime configurado permanecem explicitamente não verificáveis até governança do catálogo.</w:t>
      </w:r>
    </w:p>
    <w:p>
      <w:pPr>
        <w:pStyle w:val="ListBullet"/>
      </w:pPr>
      <w:r>
        <w:t>bronze.entrega_arquivo: estado_armazenamento, expurgo_iniciado_em, expurgado_em e retencao_motivo, com constraint cruzada de coerência temporal.</w:t>
      </w:r>
    </w:p>
    <w:p>
      <w:pPr>
        <w:pStyle w:val="ListBullet"/>
      </w:pPr>
      <w:r>
        <w:t>controle.entrega_retencao_ciclo e serving.v_bi_retencao_bronze registram candidatos, referências expiradas, objetos removidos/compartilhados, locks não adquiridos e falhas do storage.</w:t>
      </w:r>
    </w:p>
    <w:p>
      <w:pPr>
        <w:pStyle w:val="ListBullet"/>
      </w:pPr>
      <w:r>
        <w:t>serving.v_bi_beneficios_concedidos, v_bi_servicos_prestados e v_bi_registros expõem estado_atribuicao_identidade; v_bi_fatos_identidade deixa de existir.</w:t>
      </w:r>
    </w:p>
    <w:p>
      <w:pPr>
        <w:pStyle w:val="ListBullet"/>
      </w:pPr>
      <w:r>
        <w:t>As views *_pessoas continuam filtrando explicitamente estado_atribuicao_identidade=ATRIBUIDA.</w:t>
      </w:r>
    </w:p>
    <w:p>
      <w:pPr>
        <w:pStyle w:val="Heading1"/>
      </w:pPr>
      <w:r>
        <w:t>Atualização v1.27 / modelo físico v3.49</w:t>
      </w:r>
    </w:p>
    <w:p>
      <w:r>
        <w:t>ref.tipo_registro_versao permanece como versão do contrato operacional completo do Tipo. A ligação da Entrega à versão original garante replay determinístico. No QC/BI, concessão com janela configurada e data_inicio_concessao nula é não verificável; a view de qualidade expõe concessao_janela_verificavel e deixa concessao_na_janela_permitida nula nesse caso.</w:t>
      </w:r>
    </w:p>
    <w:p>
      <w:pPr>
        <w:pStyle w:val="Heading1"/>
      </w:pPr>
      <w:r>
        <w:t>10. Cobertura ampliada do DER essencial — v3.50</w:t>
      </w:r>
    </w:p>
    <w:p>
      <w:r>
        <w:t>O DER continua sendo uma visão essencial, não uma reprodução 1:1 das 53 tabelas persistentes. A v3.50 explicita as famílias cuja ausência dificultava a implementação e a auditoria: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</w:tcPr>
          <w:p>
            <w:r>
              <w:t>Família / tabela</w:t>
            </w:r>
          </w:p>
        </w:tc>
        <w:tc>
          <w:tcPr>
            <w:tcW w:type="dxa" w:w="6912"/>
          </w:tcPr>
          <w:p>
            <w:r>
              <w:t>Papel no modelo</w:t>
            </w:r>
          </w:p>
        </w:tc>
      </w:tr>
      <w:tr>
        <w:tc>
          <w:tcPr>
            <w:tcW w:type="dxa" w:w="6912"/>
          </w:tcPr>
          <w:p>
            <w:r>
              <w:t>ref.gestor</w:t>
            </w:r>
          </w:p>
        </w:tc>
        <w:tc>
          <w:tcPr>
            <w:tcW w:type="dxa" w:w="6912"/>
          </w:tcPr>
          <w:p>
            <w:r>
              <w:t>Identidade institucional do Gestor responsável/consumidor e base referencial de Tipos, credenciais e projeções.</w:t>
            </w:r>
          </w:p>
        </w:tc>
      </w:tr>
      <w:tr>
        <w:tc>
          <w:tcPr>
            <w:tcW w:type="dxa" w:w="6912"/>
          </w:tcPr>
          <w:p>
            <w:r>
              <w:t>identidade.vinculo_fonte</w:t>
            </w:r>
          </w:p>
        </w:tc>
        <w:tc>
          <w:tcPr>
            <w:tcW w:type="dxa" w:w="6912"/>
          </w:tcPr>
          <w:p>
            <w:r>
              <w:t>Vínculo auditável entre observação de origem e Pessoa canônica; preserva conflito com pessoa_uuid nulo quando necessário.</w:t>
            </w:r>
          </w:p>
        </w:tc>
      </w:tr>
      <w:tr>
        <w:tc>
          <w:tcPr>
            <w:tcW w:type="dxa" w:w="6912"/>
          </w:tcPr>
          <w:p>
            <w:r>
              <w:t>modelo_linkage / parametro_linkage / frequencia_linkage / estatistica_linkage</w:t>
            </w:r>
          </w:p>
        </w:tc>
        <w:tc>
          <w:tcPr>
            <w:tcW w:type="dxa" w:w="6912"/>
          </w:tcPr>
          <w:p>
            <w:r>
              <w:t>Versionamento e calibração dos parâmetros e estatísticas do linkage probabilístico.</w:t>
            </w:r>
          </w:p>
        </w:tc>
      </w:tr>
      <w:tr>
        <w:tc>
          <w:tcPr>
            <w:tcW w:type="dxa" w:w="6912"/>
          </w:tcPr>
          <w:p>
            <w:r>
              <w:t>linkage_run / linkage_run_item / linkage_resultado</w:t>
            </w:r>
          </w:p>
        </w:tc>
        <w:tc>
          <w:tcPr>
            <w:tcW w:type="dxa" w:w="6912"/>
          </w:tcPr>
          <w:p>
            <w:r>
              <w:t>Universo congelado, execução e resultados auditáveis de cada rodada de linkage.</w:t>
            </w:r>
          </w:p>
        </w:tc>
      </w:tr>
      <w:tr>
        <w:tc>
          <w:tcPr>
            <w:tcW w:type="dxa" w:w="6912"/>
          </w:tcPr>
          <w:p>
            <w:r>
              <w:t>qualidade.qc_registro_implementacao / qc_registro_resultado</w:t>
            </w:r>
          </w:p>
        </w:tc>
        <w:tc>
          <w:tcPr>
            <w:tcW w:type="dxa" w:w="6912"/>
          </w:tcPr>
          <w:p>
            <w:r>
              <w:t>Contrato e resultados de Quality Control por Tipo/versão, incluindo NAO_VERIFICAVEL.</w:t>
            </w:r>
          </w:p>
        </w:tc>
      </w:tr>
      <w:tr>
        <w:tc>
          <w:tcPr>
            <w:tcW w:type="dxa" w:w="6912"/>
          </w:tcPr>
          <w:p>
            <w:r>
              <w:t>qualidade.divergencia_gestor</w:t>
            </w:r>
          </w:p>
        </w:tc>
        <w:tc>
          <w:tcPr>
            <w:tcW w:type="dxa" w:w="6912"/>
          </w:tcPr>
          <w:p>
            <w:r>
              <w:t>Canal persistente de retorno e desfecho de divergências pelo Gestor responsável.</w:t>
            </w:r>
          </w:p>
        </w:tc>
      </w:tr>
      <w:tr>
        <w:tc>
          <w:tcPr>
            <w:tcW w:type="dxa" w:w="6912"/>
          </w:tcPr>
          <w:p>
            <w:r>
              <w:t>silver.pessoa_campo_verificacao_observacao</w:t>
            </w:r>
          </w:p>
        </w:tc>
        <w:tc>
          <w:tcPr>
            <w:tcW w:type="dxa" w:w="6912"/>
          </w:tcPr>
          <w:p>
            <w:r>
              <w:t>Evidência de conferência documental por campo, fonte e momento.</w:t>
            </w:r>
          </w:p>
        </w:tc>
      </w:tr>
    </w:tbl>
    <w:p>
      <w:r>
        <w:t>Diagrama físico essencial atualizado:</w:t>
      </w:r>
    </w:p>
    <w:p>
      <w:r/>
    </w:p>
    <w:p>
      <w:r>
        <w:br w:type="page"/>
      </w:r>
    </w:p>
    <w:p>
      <w:pPr>
        <w:pStyle w:val="Heading1"/>
      </w:pPr>
      <w:r>
        <w:t>Diagrama físico essencial ampliado — v3.50</w:t>
      </w:r>
    </w:p>
    <w:p>
      <w:r>
        <w:drawing>
          <wp:inline xmlns:a="http://schemas.openxmlformats.org/drawingml/2006/main" xmlns:pic="http://schemas.openxmlformats.org/drawingml/2006/picture">
            <wp:extent cx="5669280" cy="1085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8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Atualização v1.29 / Solution v3.51</w:t>
      </w:r>
    </w:p>
    <w:p>
      <w:r>
        <w:t>No Serving, a view de identificação compartilhada passa a ser serving.v_pessoa. A nomenclatura anterior permanece apenas na migração técnica de compatibilidade e não integra o modelo vigente.</w:t>
      </w:r>
    </w:p>
    <w:p>
      <w:pPr>
        <w:pStyle w:val="Heading1"/>
      </w:pPr>
      <w:r>
        <w:t>Atualização v1.30 / Solution v3.52</w:t>
      </w:r>
    </w:p>
    <w:p>
      <w:r>
        <w:t>A v3.52 não altera o modelo físico. `qualidade.divergencia_gestor` continua a fila persistente da Fase 1 e `serving.v_pessoa` continua a projeção de identificação; os novos metadados de resposta usam colunas já existentes em `gold.pessoa`.</w:t>
      </w:r>
    </w:p>
    <w:p>
      <w:pPr>
        <w:pStyle w:val="Heading1"/>
      </w:pPr>
      <w:r>
        <w:t>Atualização v1.31 / Solution v3.53</w:t>
      </w:r>
    </w:p>
    <w:p>
      <w:r>
        <w:t>A v3.53 não adiciona tabela nem estado persistente para scheduler/watchdog. O watchdog lê identidade.linkage_run, identidade.modelo_linkage, ingestao.lote e controle.modo_carga_inicial e emite telemetria; o scheduler permanece infraestrutura externa. O modelo físico, portanto, permanece inalterado.</w:t>
      </w:r>
    </w:p>
    <w:p>
      <w:pPr>
        <w:pStyle w:val="Heading1"/>
      </w:pPr>
      <w:r>
        <w:t>Atualização v1.33 / Solution v3.55</w:t>
      </w:r>
    </w:p>
    <w:p>
      <w:pPr/>
      <w:r>
        <w:t>A v3.55 não adiciona tabela, coluna ou estado persistente de Produção. Jornada_Dev_SyntheticScale.sql e Jornada_Dev_BackupDrill.sql são scripts exclusivos de Development/HML para criar massa/evidência controladas sobre o modelo existente.</w:t>
      </w:r>
    </w:p>
    <w:p>
      <w:pPr/>
      <w:r>
        <w:t>Jornada.Bronze.Verify passa a aceitar filtro opcional por entrega e contagem mínima para ensaios dirigidos, mantendo inalterado o modo padrão que verifica todas as referências Bronze persistidas.</w:t>
      </w:r>
    </w:p>
    <w:p>
      <w:pPr>
        <w:pStyle w:val="Heading2"/>
      </w:pPr>
      <w:r>
        <w:t>Atualização v1.34 — origem controlada de endereço de casa-abrigo-sigilosa</w:t>
      </w:r>
    </w:p>
    <w:p>
      <w:r>
        <w:t>ref.tipo_registro_versao recebe origina_endereco_casa_abrigo_sigilosa BIT NOT NULL DEFAULT(0). Somente Tipos cuja natureza seja SERVICO podem receber valor 1; o trigger de integridade rejeita a marca em BENEFICIO.</w:t>
      </w:r>
    </w:p>
    <w:p>
      <w:r>
        <w:t>ref.atributo_transversal passa a reservar ENDERECO_CASA_ABRIGO_SIGILOSA. O valor segue o mesmo formato canônico de endereço, mas é semanticamente distinto de ENDERECO_RESIDENCIAL e não possui relação com silver.referencia_territorial_observacao.</w:t>
      </w:r>
    </w:p>
    <w:p>
      <w:r>
        <w:t>controle.fn_projecao_jornada_permitida aplica negação estrutural quando alvo_tipo=ATRIBUTO_PESSOA, alvo_codigo=ENDERECO_CASA_ABRIGO_SIGILOSA e Gestor consumidor for diferente do Gestor responsável. A regra não depende de linha manual de restrição.</w:t>
      </w:r>
    </w:p>
    <w:p>
      <w:pPr>
        <w:pStyle w:val="Heading2"/>
      </w:pPr>
      <w:r>
        <w:t>Atualização v1.35 / modelo físico v3.58</w:t>
      </w:r>
    </w:p>
    <w:p>
      <w:r>
        <w:t>ref.atributo_transversal recebe cardinalidade e chave_instancia_codigo. silver.pessoa_atributo_observacao e gold.pessoa_atributo recebem atributo_instancia_chave. O índice corrente da Gold passa a ser único por (pessoa_uuid, atributo_codigo, atributo_instancia_chave), preservando uma única instância para SINGLE e múltiplas instâncias independentes para TELEFONE_CONTATO/EMAIL_CONTATO.</w:t>
      </w:r>
    </w:p>
    <w:p>
      <w:r>
        <w:t>identidade.pessoa recebe pessoa_uuid_sucessor, FK autorreferente e índice filtrado. identidade.fn_pessoa_uuid_canonico percorre a cadeia de sucessão de forma limitada/fail-closed. Em FUSAO_HISTORICA, o UUID absorvido recebe status FUNDIDO e aponta ao destino canônico; IDENTITY_MAP é encerrado/migrado com eventos. CPF ativo divergente entre origem e destino bloqueia a fusão.</w:t>
      </w:r>
    </w:p>
    <w:p>
      <w:r>
        <w:t>O número de tabelas permanece inalterado: a evolução é por colunas, índice, função e procedure, sem nova entidade de “Pessoa protegida” e sem nova tabela para alias de UUID.</w:t>
      </w:r>
    </w:p>
    <w:p>
      <w:pPr>
        <w:pStyle w:val="Heading2"/>
      </w:pPr>
      <w:r>
        <w:t>Atualização v1.36 / modelo físico v3.59</w:t>
      </w:r>
    </w:p>
    <w:p>
      <w:pPr/>
      <w:r>
        <w:t>ref.atributo_transversal atualiza TELEFONE_CONTATO para chave_instancia_codigo=TELEFONE_BR_CANONICO_V2. O DDL migra chaves nacionais legadas de 10/11 dígitos para DDI 55; antes de recriar UX_gold_pessoa_atributo_corrente, duplicatas lógicas correntes são encerradas por precedência, preservando histórico.</w:t>
      </w:r>
    </w:p>
    <w:p>
      <w:pPr/>
      <w:r>
        <w:t>identidade.sp_aplicar_caso_conflito_identidade acrescenta validação fail-closed 51119 para FUSAO_HISTORICA incompleta. A verificação ocorre antes das mutações de aplicação e exige que todos os vínculos correntes RESOLVIDO do UUID absorvido estejam no mesmo destino. O número de tabelas permanece 53.</w:t>
      </w:r>
    </w:p>
    <w:p>
      <w:pPr>
        <w:pStyle w:val="Heading2"/>
      </w:pPr>
      <w:r>
        <w:t>Atualização v1.37 / modelo físico v3.60</w:t>
      </w:r>
    </w:p>
    <w:p>
      <w:r>
        <w:t>O conjunto de tabelas permanece inalterado. O DDL acrescenta ref.fn_telefone_br_canonico_v2 como função de reconciliação/upgrade: Silver e Gold recalculam a chave de TELEFONE_CONTATO a partir do valor original. Prefixo 00 é removido como prefixo internacional antes da validação de 8–15 dígitos; sem prefixo explícito permanecem as regras municipais de 10/11 dígitos e E.164 brasileiro iniciado por 55. Valor legado incompatível falha fechado.</w:t>
      </w:r>
    </w:p>
    <w:p>
      <w:r>
        <w:t>identidade.sp_aplicar_caso_conflito_identidade passa a construir o conjunto de fusões pretendidas ainda no preflight. 51119 recusa vínculo resolvido fora do ato e também mais de um destino para a mesma origem; 51117 e 51118 são avaliados antes do primeiro UPDATE/INSERT da aplicação. O conjunto validado é reutilizado na etapa de migração de identificadores e marcação FUNDIDO.</w:t>
      </w:r>
    </w:p>
    <w:p>
      <w:pPr>
        <w:pStyle w:val="Heading1"/>
      </w:pPr>
      <w:r>
        <w:t>Inventário físico nominal v1.39 — cobertura 53/53</w:t>
      </w:r>
    </w:p>
    <w:p>
      <w:r>
        <w:t>O inventário abaixo é derivado dos comandos CREATE TABLE do DDL corrente. A lista é nominal e completa: 53 tabelas persistentes, sem inferir views, funções, procedures ou tabelas temporárias como entidades físicas.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</w:tcPr>
          <w:p>
            <w:r>
              <w:t>Nº</w:t>
            </w:r>
          </w:p>
        </w:tc>
        <w:tc>
          <w:tcPr>
            <w:tcW w:type="dxa" w:w="6912"/>
          </w:tcPr>
          <w:p>
            <w:r>
              <w:t>Tabela física</w:t>
            </w:r>
          </w:p>
        </w:tc>
      </w:tr>
      <w:tr>
        <w:tc>
          <w:tcPr>
            <w:tcW w:type="dxa" w:w="6912"/>
          </w:tcPr>
          <w:p>
            <w:r>
              <w:t>1</w:t>
            </w:r>
          </w:p>
        </w:tc>
        <w:tc>
          <w:tcPr>
            <w:tcW w:type="dxa" w:w="6912"/>
          </w:tcPr>
          <w:p>
            <w:r>
              <w:t>bronze.entrega_arquivo</w:t>
            </w:r>
          </w:p>
        </w:tc>
      </w:tr>
      <w:tr>
        <w:tc>
          <w:tcPr>
            <w:tcW w:type="dxa" w:w="6912"/>
          </w:tcPr>
          <w:p>
            <w:r>
              <w:t>2</w:t>
            </w:r>
          </w:p>
        </w:tc>
        <w:tc>
          <w:tcPr>
            <w:tcW w:type="dxa" w:w="6912"/>
          </w:tcPr>
          <w:p>
            <w:r>
              <w:t>controle.api_evento</w:t>
            </w:r>
          </w:p>
        </w:tc>
      </w:tr>
      <w:tr>
        <w:tc>
          <w:tcPr>
            <w:tcW w:type="dxa" w:w="6912"/>
          </w:tcPr>
          <w:p>
            <w:r>
              <w:t>3</w:t>
            </w:r>
          </w:p>
        </w:tc>
        <w:tc>
          <w:tcPr>
            <w:tcW w:type="dxa" w:w="6912"/>
          </w:tcPr>
          <w:p>
            <w:r>
              <w:t>controle.api_evento_pessoa</w:t>
            </w:r>
          </w:p>
        </w:tc>
      </w:tr>
      <w:tr>
        <w:tc>
          <w:tcPr>
            <w:tcW w:type="dxa" w:w="6912"/>
          </w:tcPr>
          <w:p>
            <w:r>
              <w:t>4</w:t>
            </w:r>
          </w:p>
        </w:tc>
        <w:tc>
          <w:tcPr>
            <w:tcW w:type="dxa" w:w="6912"/>
          </w:tcPr>
          <w:p>
            <w:r>
              <w:t>controle.bronze_manutencao_ciclo</w:t>
            </w:r>
          </w:p>
        </w:tc>
      </w:tr>
      <w:tr>
        <w:tc>
          <w:tcPr>
            <w:tcW w:type="dxa" w:w="6912"/>
          </w:tcPr>
          <w:p>
            <w:r>
              <w:t>5</w:t>
            </w:r>
          </w:p>
        </w:tc>
        <w:tc>
          <w:tcPr>
            <w:tcW w:type="dxa" w:w="6912"/>
          </w:tcPr>
          <w:p>
            <w:r>
              <w:t>controle.bronze_manutencao_estado</w:t>
            </w:r>
          </w:p>
        </w:tc>
      </w:tr>
      <w:tr>
        <w:tc>
          <w:tcPr>
            <w:tcW w:type="dxa" w:w="6912"/>
          </w:tcPr>
          <w:p>
            <w:r>
              <w:t>6</w:t>
            </w:r>
          </w:p>
        </w:tc>
        <w:tc>
          <w:tcPr>
            <w:tcW w:type="dxa" w:w="6912"/>
          </w:tcPr>
          <w:p>
            <w:r>
              <w:t>controle.credencial_api</w:t>
            </w:r>
          </w:p>
        </w:tc>
      </w:tr>
      <w:tr>
        <w:tc>
          <w:tcPr>
            <w:tcW w:type="dxa" w:w="6912"/>
          </w:tcPr>
          <w:p>
            <w:r>
              <w:t>7</w:t>
            </w:r>
          </w:p>
        </w:tc>
        <w:tc>
          <w:tcPr>
            <w:tcW w:type="dxa" w:w="6912"/>
          </w:tcPr>
          <w:p>
            <w:r>
              <w:t>controle.entrega_retencao_ciclo</w:t>
            </w:r>
          </w:p>
        </w:tc>
      </w:tr>
      <w:tr>
        <w:tc>
          <w:tcPr>
            <w:tcW w:type="dxa" w:w="6912"/>
          </w:tcPr>
          <w:p>
            <w:r>
              <w:t>8</w:t>
            </w:r>
          </w:p>
        </w:tc>
        <w:tc>
          <w:tcPr>
            <w:tcW w:type="dxa" w:w="6912"/>
          </w:tcPr>
          <w:p>
            <w:r>
              <w:t>controle.modo_carga_inicial</w:t>
            </w:r>
          </w:p>
        </w:tc>
      </w:tr>
      <w:tr>
        <w:tc>
          <w:tcPr>
            <w:tcW w:type="dxa" w:w="6912"/>
          </w:tcPr>
          <w:p>
            <w:r>
              <w:t>9</w:t>
            </w:r>
          </w:p>
        </w:tc>
        <w:tc>
          <w:tcPr>
            <w:tcW w:type="dxa" w:w="6912"/>
          </w:tcPr>
          <w:p>
            <w:r>
              <w:t>controle.restricao_projecao_jornada_versao</w:t>
            </w:r>
          </w:p>
        </w:tc>
      </w:tr>
      <w:tr>
        <w:tc>
          <w:tcPr>
            <w:tcW w:type="dxa" w:w="6912"/>
          </w:tcPr>
          <w:p>
            <w:r>
              <w:t>10</w:t>
            </w:r>
          </w:p>
        </w:tc>
        <w:tc>
          <w:tcPr>
            <w:tcW w:type="dxa" w:w="6912"/>
          </w:tcPr>
          <w:p>
            <w:r>
              <w:t>gold.beneficio_concedido</w:t>
            </w:r>
          </w:p>
        </w:tc>
      </w:tr>
      <w:tr>
        <w:tc>
          <w:tcPr>
            <w:tcW w:type="dxa" w:w="6912"/>
          </w:tcPr>
          <w:p>
            <w:r>
              <w:t>11</w:t>
            </w:r>
          </w:p>
        </w:tc>
        <w:tc>
          <w:tcPr>
            <w:tcW w:type="dxa" w:w="6912"/>
          </w:tcPr>
          <w:p>
            <w:r>
              <w:t>gold.pessoa</w:t>
            </w:r>
          </w:p>
        </w:tc>
      </w:tr>
      <w:tr>
        <w:tc>
          <w:tcPr>
            <w:tcW w:type="dxa" w:w="6912"/>
          </w:tcPr>
          <w:p>
            <w:r>
              <w:t>12</w:t>
            </w:r>
          </w:p>
        </w:tc>
        <w:tc>
          <w:tcPr>
            <w:tcW w:type="dxa" w:w="6912"/>
          </w:tcPr>
          <w:p>
            <w:r>
              <w:t>gold.pessoa_atributo</w:t>
            </w:r>
          </w:p>
        </w:tc>
      </w:tr>
      <w:tr>
        <w:tc>
          <w:tcPr>
            <w:tcW w:type="dxa" w:w="6912"/>
          </w:tcPr>
          <w:p>
            <w:r>
              <w:t>13</w:t>
            </w:r>
          </w:p>
        </w:tc>
        <w:tc>
          <w:tcPr>
            <w:tcW w:type="dxa" w:w="6912"/>
          </w:tcPr>
          <w:p>
            <w:r>
              <w:t>gold.servico_prestado</w:t>
            </w:r>
          </w:p>
        </w:tc>
      </w:tr>
      <w:tr>
        <w:tc>
          <w:tcPr>
            <w:tcW w:type="dxa" w:w="6912"/>
          </w:tcPr>
          <w:p>
            <w:r>
              <w:t>14</w:t>
            </w:r>
          </w:p>
        </w:tc>
        <w:tc>
          <w:tcPr>
            <w:tcW w:type="dxa" w:w="6912"/>
          </w:tcPr>
          <w:p>
            <w:r>
              <w:t>identidade.caso_conflito_identidade</w:t>
            </w:r>
          </w:p>
        </w:tc>
      </w:tr>
      <w:tr>
        <w:tc>
          <w:tcPr>
            <w:tcW w:type="dxa" w:w="6912"/>
          </w:tcPr>
          <w:p>
            <w:r>
              <w:t>15</w:t>
            </w:r>
          </w:p>
        </w:tc>
        <w:tc>
          <w:tcPr>
            <w:tcW w:type="dxa" w:w="6912"/>
          </w:tcPr>
          <w:p>
            <w:r>
              <w:t>identidade.caso_conflito_identidade_item</w:t>
            </w:r>
          </w:p>
        </w:tc>
      </w:tr>
      <w:tr>
        <w:tc>
          <w:tcPr>
            <w:tcW w:type="dxa" w:w="6912"/>
          </w:tcPr>
          <w:p>
            <w:r>
              <w:t>16</w:t>
            </w:r>
          </w:p>
        </w:tc>
        <w:tc>
          <w:tcPr>
            <w:tcW w:type="dxa" w:w="6912"/>
          </w:tcPr>
          <w:p>
            <w:r>
              <w:t>identidade.correcao_identidade</w:t>
            </w:r>
          </w:p>
        </w:tc>
      </w:tr>
      <w:tr>
        <w:tc>
          <w:tcPr>
            <w:tcW w:type="dxa" w:w="6912"/>
          </w:tcPr>
          <w:p>
            <w:r>
              <w:t>17</w:t>
            </w:r>
          </w:p>
        </w:tc>
        <w:tc>
          <w:tcPr>
            <w:tcW w:type="dxa" w:w="6912"/>
          </w:tcPr>
          <w:p>
            <w:r>
              <w:t>identidade.correcao_identidade_item</w:t>
            </w:r>
          </w:p>
        </w:tc>
      </w:tr>
      <w:tr>
        <w:tc>
          <w:tcPr>
            <w:tcW w:type="dxa" w:w="6912"/>
          </w:tcPr>
          <w:p>
            <w:r>
              <w:t>18</w:t>
            </w:r>
          </w:p>
        </w:tc>
        <w:tc>
          <w:tcPr>
            <w:tcW w:type="dxa" w:w="6912"/>
          </w:tcPr>
          <w:p>
            <w:r>
              <w:t>identidade.estatistica_linkage</w:t>
            </w:r>
          </w:p>
        </w:tc>
      </w:tr>
      <w:tr>
        <w:tc>
          <w:tcPr>
            <w:tcW w:type="dxa" w:w="6912"/>
          </w:tcPr>
          <w:p>
            <w:r>
              <w:t>19</w:t>
            </w:r>
          </w:p>
        </w:tc>
        <w:tc>
          <w:tcPr>
            <w:tcW w:type="dxa" w:w="6912"/>
          </w:tcPr>
          <w:p>
            <w:r>
              <w:t>identidade.frequencia_linkage</w:t>
            </w:r>
          </w:p>
        </w:tc>
      </w:tr>
      <w:tr>
        <w:tc>
          <w:tcPr>
            <w:tcW w:type="dxa" w:w="6912"/>
          </w:tcPr>
          <w:p>
            <w:r>
              <w:t>20</w:t>
            </w:r>
          </w:p>
        </w:tc>
        <w:tc>
          <w:tcPr>
            <w:tcW w:type="dxa" w:w="6912"/>
          </w:tcPr>
          <w:p>
            <w:r>
              <w:t>identidade.identity_map</w:t>
            </w:r>
          </w:p>
        </w:tc>
      </w:tr>
      <w:tr>
        <w:tc>
          <w:tcPr>
            <w:tcW w:type="dxa" w:w="6912"/>
          </w:tcPr>
          <w:p>
            <w:r>
              <w:t>21</w:t>
            </w:r>
          </w:p>
        </w:tc>
        <w:tc>
          <w:tcPr>
            <w:tcW w:type="dxa" w:w="6912"/>
          </w:tcPr>
          <w:p>
            <w:r>
              <w:t>identidade.identity_map_estado_evento</w:t>
            </w:r>
          </w:p>
        </w:tc>
      </w:tr>
      <w:tr>
        <w:tc>
          <w:tcPr>
            <w:tcW w:type="dxa" w:w="6912"/>
          </w:tcPr>
          <w:p>
            <w:r>
              <w:t>22</w:t>
            </w:r>
          </w:p>
        </w:tc>
        <w:tc>
          <w:tcPr>
            <w:tcW w:type="dxa" w:w="6912"/>
          </w:tcPr>
          <w:p>
            <w:r>
              <w:t>identidade.linkage_resultado</w:t>
            </w:r>
          </w:p>
        </w:tc>
      </w:tr>
      <w:tr>
        <w:tc>
          <w:tcPr>
            <w:tcW w:type="dxa" w:w="6912"/>
          </w:tcPr>
          <w:p>
            <w:r>
              <w:t>23</w:t>
            </w:r>
          </w:p>
        </w:tc>
        <w:tc>
          <w:tcPr>
            <w:tcW w:type="dxa" w:w="6912"/>
          </w:tcPr>
          <w:p>
            <w:r>
              <w:t>identidade.linkage_run</w:t>
            </w:r>
          </w:p>
        </w:tc>
      </w:tr>
      <w:tr>
        <w:tc>
          <w:tcPr>
            <w:tcW w:type="dxa" w:w="6912"/>
          </w:tcPr>
          <w:p>
            <w:r>
              <w:t>24</w:t>
            </w:r>
          </w:p>
        </w:tc>
        <w:tc>
          <w:tcPr>
            <w:tcW w:type="dxa" w:w="6912"/>
          </w:tcPr>
          <w:p>
            <w:r>
              <w:t>identidade.linkage_run_item</w:t>
            </w:r>
          </w:p>
        </w:tc>
      </w:tr>
      <w:tr>
        <w:tc>
          <w:tcPr>
            <w:tcW w:type="dxa" w:w="6912"/>
          </w:tcPr>
          <w:p>
            <w:r>
              <w:t>25</w:t>
            </w:r>
          </w:p>
        </w:tc>
        <w:tc>
          <w:tcPr>
            <w:tcW w:type="dxa" w:w="6912"/>
          </w:tcPr>
          <w:p>
            <w:r>
              <w:t>identidade.modelo_linkage</w:t>
            </w:r>
          </w:p>
        </w:tc>
      </w:tr>
      <w:tr>
        <w:tc>
          <w:tcPr>
            <w:tcW w:type="dxa" w:w="6912"/>
          </w:tcPr>
          <w:p>
            <w:r>
              <w:t>26</w:t>
            </w:r>
          </w:p>
        </w:tc>
        <w:tc>
          <w:tcPr>
            <w:tcW w:type="dxa" w:w="6912"/>
          </w:tcPr>
          <w:p>
            <w:r>
              <w:t>identidade.parametro_linkage</w:t>
            </w:r>
          </w:p>
        </w:tc>
      </w:tr>
      <w:tr>
        <w:tc>
          <w:tcPr>
            <w:tcW w:type="dxa" w:w="6912"/>
          </w:tcPr>
          <w:p>
            <w:r>
              <w:t>27</w:t>
            </w:r>
          </w:p>
        </w:tc>
        <w:tc>
          <w:tcPr>
            <w:tcW w:type="dxa" w:w="6912"/>
          </w:tcPr>
          <w:p>
            <w:r>
              <w:t>identidade.pessoa</w:t>
            </w:r>
          </w:p>
        </w:tc>
      </w:tr>
      <w:tr>
        <w:tc>
          <w:tcPr>
            <w:tcW w:type="dxa" w:w="6912"/>
          </w:tcPr>
          <w:p>
            <w:r>
              <w:t>28</w:t>
            </w:r>
          </w:p>
        </w:tc>
        <w:tc>
          <w:tcPr>
            <w:tcW w:type="dxa" w:w="6912"/>
          </w:tcPr>
          <w:p>
            <w:r>
              <w:t>identidade.vinculo_fonte</w:t>
            </w:r>
          </w:p>
        </w:tc>
      </w:tr>
      <w:tr>
        <w:tc>
          <w:tcPr>
            <w:tcW w:type="dxa" w:w="6912"/>
          </w:tcPr>
          <w:p>
            <w:r>
              <w:t>29</w:t>
            </w:r>
          </w:p>
        </w:tc>
        <w:tc>
          <w:tcPr>
            <w:tcW w:type="dxa" w:w="6912"/>
          </w:tcPr>
          <w:p>
            <w:r>
              <w:t>ingestao.entrega</w:t>
            </w:r>
          </w:p>
        </w:tc>
      </w:tr>
      <w:tr>
        <w:tc>
          <w:tcPr>
            <w:tcW w:type="dxa" w:w="6912"/>
          </w:tcPr>
          <w:p>
            <w:r>
              <w:t>30</w:t>
            </w:r>
          </w:p>
        </w:tc>
        <w:tc>
          <w:tcPr>
            <w:tcW w:type="dxa" w:w="6912"/>
          </w:tcPr>
          <w:p>
            <w:r>
              <w:t>ingestao.item_processado</w:t>
            </w:r>
          </w:p>
        </w:tc>
      </w:tr>
      <w:tr>
        <w:tc>
          <w:tcPr>
            <w:tcW w:type="dxa" w:w="6912"/>
          </w:tcPr>
          <w:p>
            <w:r>
              <w:t>31</w:t>
            </w:r>
          </w:p>
        </w:tc>
        <w:tc>
          <w:tcPr>
            <w:tcW w:type="dxa" w:w="6912"/>
          </w:tcPr>
          <w:p>
            <w:r>
              <w:t>ingestao.item_processado_resumo</w:t>
            </w:r>
          </w:p>
        </w:tc>
      </w:tr>
      <w:tr>
        <w:tc>
          <w:tcPr>
            <w:tcW w:type="dxa" w:w="6912"/>
          </w:tcPr>
          <w:p>
            <w:r>
              <w:t>32</w:t>
            </w:r>
          </w:p>
        </w:tc>
        <w:tc>
          <w:tcPr>
            <w:tcW w:type="dxa" w:w="6912"/>
          </w:tcPr>
          <w:p>
            <w:r>
              <w:t>ingestao.lote</w:t>
            </w:r>
          </w:p>
        </w:tc>
      </w:tr>
      <w:tr>
        <w:tc>
          <w:tcPr>
            <w:tcW w:type="dxa" w:w="6912"/>
          </w:tcPr>
          <w:p>
            <w:r>
              <w:t>33</w:t>
            </w:r>
          </w:p>
        </w:tc>
        <w:tc>
          <w:tcPr>
            <w:tcW w:type="dxa" w:w="6912"/>
          </w:tcPr>
          <w:p>
            <w:r>
              <w:t>qualidade.avaliacao_possibilidade</w:t>
            </w:r>
          </w:p>
        </w:tc>
      </w:tr>
      <w:tr>
        <w:tc>
          <w:tcPr>
            <w:tcW w:type="dxa" w:w="6912"/>
          </w:tcPr>
          <w:p>
            <w:r>
              <w:t>34</w:t>
            </w:r>
          </w:p>
        </w:tc>
        <w:tc>
          <w:tcPr>
            <w:tcW w:type="dxa" w:w="6912"/>
          </w:tcPr>
          <w:p>
            <w:r>
              <w:t>qualidade.divergencia_gestor</w:t>
            </w:r>
          </w:p>
        </w:tc>
      </w:tr>
      <w:tr>
        <w:tc>
          <w:tcPr>
            <w:tcW w:type="dxa" w:w="6912"/>
          </w:tcPr>
          <w:p>
            <w:r>
              <w:t>35</w:t>
            </w:r>
          </w:p>
        </w:tc>
        <w:tc>
          <w:tcPr>
            <w:tcW w:type="dxa" w:w="6912"/>
          </w:tcPr>
          <w:p>
            <w:r>
              <w:t>qualidade.possibilidade_implementacao</w:t>
            </w:r>
          </w:p>
        </w:tc>
      </w:tr>
      <w:tr>
        <w:tc>
          <w:tcPr>
            <w:tcW w:type="dxa" w:w="6912"/>
          </w:tcPr>
          <w:p>
            <w:r>
              <w:t>36</w:t>
            </w:r>
          </w:p>
        </w:tc>
        <w:tc>
          <w:tcPr>
            <w:tcW w:type="dxa" w:w="6912"/>
          </w:tcPr>
          <w:p>
            <w:r>
              <w:t>qualidade.qc_registro_implementacao</w:t>
            </w:r>
          </w:p>
        </w:tc>
      </w:tr>
      <w:tr>
        <w:tc>
          <w:tcPr>
            <w:tcW w:type="dxa" w:w="6912"/>
          </w:tcPr>
          <w:p>
            <w:r>
              <w:t>37</w:t>
            </w:r>
          </w:p>
        </w:tc>
        <w:tc>
          <w:tcPr>
            <w:tcW w:type="dxa" w:w="6912"/>
          </w:tcPr>
          <w:p>
            <w:r>
              <w:t>qualidade.qc_registro_resultado</w:t>
            </w:r>
          </w:p>
        </w:tc>
      </w:tr>
      <w:tr>
        <w:tc>
          <w:tcPr>
            <w:tcW w:type="dxa" w:w="6912"/>
          </w:tcPr>
          <w:p>
            <w:r>
              <w:t>38</w:t>
            </w:r>
          </w:p>
        </w:tc>
        <w:tc>
          <w:tcPr>
            <w:tcW w:type="dxa" w:w="6912"/>
          </w:tcPr>
          <w:p>
            <w:r>
              <w:t>ref.atributo_transversal</w:t>
            </w:r>
          </w:p>
        </w:tc>
      </w:tr>
      <w:tr>
        <w:tc>
          <w:tcPr>
            <w:tcW w:type="dxa" w:w="6912"/>
          </w:tcPr>
          <w:p>
            <w:r>
              <w:t>39</w:t>
            </w:r>
          </w:p>
        </w:tc>
        <w:tc>
          <w:tcPr>
            <w:tcW w:type="dxa" w:w="6912"/>
          </w:tcPr>
          <w:p>
            <w:r>
              <w:t>ref.distrito</w:t>
            </w:r>
          </w:p>
        </w:tc>
      </w:tr>
      <w:tr>
        <w:tc>
          <w:tcPr>
            <w:tcW w:type="dxa" w:w="6912"/>
          </w:tcPr>
          <w:p>
            <w:r>
              <w:t>40</w:t>
            </w:r>
          </w:p>
        </w:tc>
        <w:tc>
          <w:tcPr>
            <w:tcW w:type="dxa" w:w="6912"/>
          </w:tcPr>
          <w:p>
            <w:r>
              <w:t>ref.gestor</w:t>
            </w:r>
          </w:p>
        </w:tc>
      </w:tr>
      <w:tr>
        <w:tc>
          <w:tcPr>
            <w:tcW w:type="dxa" w:w="6912"/>
          </w:tcPr>
          <w:p>
            <w:r>
              <w:t>41</w:t>
            </w:r>
          </w:p>
        </w:tc>
        <w:tc>
          <w:tcPr>
            <w:tcW w:type="dxa" w:w="6912"/>
          </w:tcPr>
          <w:p>
            <w:r>
              <w:t>ref.gestor_pessoa_versao</w:t>
            </w:r>
          </w:p>
        </w:tc>
      </w:tr>
      <w:tr>
        <w:tc>
          <w:tcPr>
            <w:tcW w:type="dxa" w:w="6912"/>
          </w:tcPr>
          <w:p>
            <w:r>
              <w:t>42</w:t>
            </w:r>
          </w:p>
        </w:tc>
        <w:tc>
          <w:tcPr>
            <w:tcW w:type="dxa" w:w="6912"/>
          </w:tcPr>
          <w:p>
            <w:r>
              <w:t>ref.sistema_origem</w:t>
            </w:r>
          </w:p>
        </w:tc>
      </w:tr>
      <w:tr>
        <w:tc>
          <w:tcPr>
            <w:tcW w:type="dxa" w:w="6912"/>
          </w:tcPr>
          <w:p>
            <w:r>
              <w:t>43</w:t>
            </w:r>
          </w:p>
        </w:tc>
        <w:tc>
          <w:tcPr>
            <w:tcW w:type="dxa" w:w="6912"/>
          </w:tcPr>
          <w:p>
            <w:r>
              <w:t>ref.subprefeitura</w:t>
            </w:r>
          </w:p>
        </w:tc>
      </w:tr>
      <w:tr>
        <w:tc>
          <w:tcPr>
            <w:tcW w:type="dxa" w:w="6912"/>
          </w:tcPr>
          <w:p>
            <w:r>
              <w:t>44</w:t>
            </w:r>
          </w:p>
        </w:tc>
        <w:tc>
          <w:tcPr>
            <w:tcW w:type="dxa" w:w="6912"/>
          </w:tcPr>
          <w:p>
            <w:r>
              <w:t>ref.tipo_registro</w:t>
            </w:r>
          </w:p>
        </w:tc>
      </w:tr>
      <w:tr>
        <w:tc>
          <w:tcPr>
            <w:tcW w:type="dxa" w:w="6912"/>
          </w:tcPr>
          <w:p>
            <w:r>
              <w:t>45</w:t>
            </w:r>
          </w:p>
        </w:tc>
        <w:tc>
          <w:tcPr>
            <w:tcW w:type="dxa" w:w="6912"/>
          </w:tcPr>
          <w:p>
            <w:r>
              <w:t>ref.tipo_registro_versao</w:t>
            </w:r>
          </w:p>
        </w:tc>
      </w:tr>
      <w:tr>
        <w:tc>
          <w:tcPr>
            <w:tcW w:type="dxa" w:w="6912"/>
          </w:tcPr>
          <w:p>
            <w:r>
              <w:t>46</w:t>
            </w:r>
          </w:p>
        </w:tc>
        <w:tc>
          <w:tcPr>
            <w:tcW w:type="dxa" w:w="6912"/>
          </w:tcPr>
          <w:p>
            <w:r>
              <w:t>serving.registro_integrado</w:t>
            </w:r>
          </w:p>
        </w:tc>
      </w:tr>
      <w:tr>
        <w:tc>
          <w:tcPr>
            <w:tcW w:type="dxa" w:w="6912"/>
          </w:tcPr>
          <w:p>
            <w:r>
              <w:t>47</w:t>
            </w:r>
          </w:p>
        </w:tc>
        <w:tc>
          <w:tcPr>
            <w:tcW w:type="dxa" w:w="6912"/>
          </w:tcPr>
          <w:p>
            <w:r>
              <w:t>silver.pessoa_atributo_observacao</w:t>
            </w:r>
          </w:p>
        </w:tc>
      </w:tr>
      <w:tr>
        <w:tc>
          <w:tcPr>
            <w:tcW w:type="dxa" w:w="6912"/>
          </w:tcPr>
          <w:p>
            <w:r>
              <w:t>48</w:t>
            </w:r>
          </w:p>
        </w:tc>
        <w:tc>
          <w:tcPr>
            <w:tcW w:type="dxa" w:w="6912"/>
          </w:tcPr>
          <w:p>
            <w:r>
              <w:t>silver.pessoa_campo_verificacao_observacao</w:t>
            </w:r>
          </w:p>
        </w:tc>
      </w:tr>
      <w:tr>
        <w:tc>
          <w:tcPr>
            <w:tcW w:type="dxa" w:w="6912"/>
          </w:tcPr>
          <w:p>
            <w:r>
              <w:t>49</w:t>
            </w:r>
          </w:p>
        </w:tc>
        <w:tc>
          <w:tcPr>
            <w:tcW w:type="dxa" w:w="6912"/>
          </w:tcPr>
          <w:p>
            <w:r>
              <w:t>silver.pessoa_observacao</w:t>
            </w:r>
          </w:p>
        </w:tc>
      </w:tr>
      <w:tr>
        <w:tc>
          <w:tcPr>
            <w:tcW w:type="dxa" w:w="6912"/>
          </w:tcPr>
          <w:p>
            <w:r>
              <w:t>50</w:t>
            </w:r>
          </w:p>
        </w:tc>
        <w:tc>
          <w:tcPr>
            <w:tcW w:type="dxa" w:w="6912"/>
          </w:tcPr>
          <w:p>
            <w:r>
              <w:t>silver.pessoa_origem</w:t>
            </w:r>
          </w:p>
        </w:tc>
      </w:tr>
      <w:tr>
        <w:tc>
          <w:tcPr>
            <w:tcW w:type="dxa" w:w="6912"/>
          </w:tcPr>
          <w:p>
            <w:r>
              <w:t>51</w:t>
            </w:r>
          </w:p>
        </w:tc>
        <w:tc>
          <w:tcPr>
            <w:tcW w:type="dxa" w:w="6912"/>
          </w:tcPr>
          <w:p>
            <w:r>
              <w:t>silver.referencia_territorial_observacao</w:t>
            </w:r>
          </w:p>
        </w:tc>
      </w:tr>
      <w:tr>
        <w:tc>
          <w:tcPr>
            <w:tcW w:type="dxa" w:w="6912"/>
          </w:tcPr>
          <w:p>
            <w:r>
              <w:t>52</w:t>
            </w:r>
          </w:p>
        </w:tc>
        <w:tc>
          <w:tcPr>
            <w:tcW w:type="dxa" w:w="6912"/>
          </w:tcPr>
          <w:p>
            <w:r>
              <w:t>silver.registro_observacao</w:t>
            </w:r>
          </w:p>
        </w:tc>
      </w:tr>
      <w:tr>
        <w:tc>
          <w:tcPr>
            <w:tcW w:type="dxa" w:w="6912"/>
          </w:tcPr>
          <w:p>
            <w:r>
              <w:t>53</w:t>
            </w:r>
          </w:p>
        </w:tc>
        <w:tc>
          <w:tcPr>
            <w:tcW w:type="dxa" w:w="6912"/>
          </w:tcPr>
          <w:p>
            <w:r>
              <w:t>silver.registro_origem</w:t>
            </w:r>
          </w:p>
        </w:tc>
      </w:tr>
    </w:tbl>
    <w:p>
      <w:r>
        <w:t>EMAIL_CANONICO_V2 e o marcador de compatibilidade de schema usam funções/extended properties; não acrescentam tabela. O total físico permanece 53.</w:t>
      </w:r>
    </w:p>
    <w:sectPr w:rsidR="00FC693F" w:rsidRPr="0006063C" w:rsidSect="00034616">
      <w:footerReference w:type="default" r:id="rId9"/>
      <w:headerReference w:type="default" r:id="rId11"/>
      <w:headerReference w:type="first" r:id="rId13"/>
      <w:footerReference w:type="first" r:id="rId14"/>
      <w:headerReference w:type="even" r:id="rId15"/>
      <w:footerReference w:type="even" r:id="rId16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Jornada do Cidadão  •  Página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Modelo Físico e DER v1.32</dc:title>
  <dc:subject>Jornada do Cidadão — Fase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1.21</cp:version>
</cp:coreProperties>
</file>