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Anexo de SLA e Atraso de Recebimento</w:t>
      </w:r>
    </w:p>
    <w:p>
      <w:pPr>
        <w:jc w:val="center"/>
      </w:pPr>
      <w:r>
        <w:t>Jornada do Cidadão — Fase 1 v3.55</w:t>
      </w:r>
    </w:p>
    <w:p>
      <w:pPr>
        <w:jc w:val="center"/>
      </w:pPr>
      <w:r>
        <w:t>Versão 1.22 • agosto de 2026</w:t>
      </w:r>
    </w:p>
    <w:p/>
    <w:p>
      <w:pPr>
        <w:pStyle w:val="Heading1"/>
      </w:pPr>
      <w:r>
        <w:t>1. Finalidade</w:t>
      </w:r>
    </w:p>
    <w:p>
      <w:r>
        <w:t>Definir como a Jornada mede a tempestividade com que Benefícios Concedidos e Serviços Prestados são recebidos. O SLA pertence à versão do Tipo, não ao fato individual e não ao código da aplicação. O objetivo é permitir regras diferentes por programa/serviço sem mudança de schema.</w:t>
      </w:r>
    </w:p>
    <w:p>
      <w:pPr>
        <w:pStyle w:val="Heading1"/>
      </w:pPr>
      <w:r>
        <w:t>2. Conceitos</w:t>
      </w:r>
    </w:p>
    <w:p>
      <w:pPr>
        <w:pStyle w:val="ListBullet"/>
      </w:pPr>
      <w:r>
        <w:t>Latência de recebimento: tempo, em dias corridos, entre o marco factual configurado e a data operacional da Entrega. O instante oficial recebido_em é atribuído exclusivamente pelo servidor da API da Jornada no aceite do ZIP e persistido em UTC; o Gestor não informa esse campo.</w:t>
      </w:r>
    </w:p>
    <w:p>
      <w:pPr>
        <w:pStyle w:val="ListBullet"/>
      </w:pPr>
      <w:r>
        <w:t>Prazo de recebimento: quantidade máxima de dias corridos admitida para a versão do Tipo na Fase 1.</w:t>
      </w:r>
    </w:p>
    <w:p>
      <w:pPr>
        <w:pStyle w:val="ListBullet"/>
      </w:pPr>
      <w:r>
        <w:t>Atraso: somente o excedente sobre o prazo. Um registro com 9 dias de latência e SLA de 7 dias tem 2 dias de atraso.</w:t>
      </w:r>
    </w:p>
    <w:p>
      <w:pPr>
        <w:pStyle w:val="ListBullet"/>
      </w:pPr>
      <w:r>
        <w:t>SEM_MARCO e DATA_FUTURA são problemas de qualidade; não contam como NO_PRAZO nem EM_ATRASO.</w:t>
      </w:r>
    </w:p>
    <w:p>
      <w:pPr>
        <w:pStyle w:val="ListBullet"/>
      </w:pPr>
      <w:r>
        <w:t>Alterar prazo ou marco exige nova versão do Tipo quando representar mudança contratual/semântica.</w:t>
      </w:r>
    </w:p>
    <w:p>
      <w:pPr>
        <w:pStyle w:val="Heading1"/>
      </w:pPr>
      <w:r>
        <w:t>3. Regra de não inferência</w:t>
      </w:r>
    </w:p>
    <w:p>
      <w:r>
        <w:t>A existência de um campo temporal não autoriza usá-lo automaticamente. Em Benefício Concedido, data_inicio_concessao, data_fim_concessao e data_evento_concessao têm semântica explícita. O marco de SLA continua configurado por versão do Tipo e somente deve apontar para o campo que efetivamente inicia a expectativa de recebimento.</w:t>
      </w:r>
    </w:p>
    <w:p>
      <w:r/>
    </w:p>
    <w:p>
      <w:pPr>
        <w:pStyle w:val="Heading1"/>
      </w:pPr>
      <w:r>
        <w:t>4. Como escolher o marco do atraso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Marco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Quando usar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Cuidado principal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DATA_HORA_SERVICO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Serviço cuja realização possui data/hora canônica e o envio deve ocorrer após a execução.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É a escolha usual para Serviços, desde que a origem informe a realização real.</w:t>
            </w:r>
          </w:p>
        </w:tc>
      </w:tr>
      <w:tr>
        <w:tc>
          <w:tcPr>
            <w:tcW w:type="dxa" w:w="3408"/>
            <w:vAlign w:val="top"/>
          </w:tcPr>
          <w:p>
            <w:r>
              <w:t>DATA_EVENTO_CONCESSAO</w:t>
            </w:r>
          </w:p>
        </w:tc>
        <w:tc>
          <w:tcPr>
            <w:tcW w:type="dxa" w:w="3408"/>
            <w:vAlign w:val="top"/>
          </w:tcPr>
          <w:p>
            <w:r>
              <w:t>Benefício Concedido cujo evento explícito de concessão dispara a expectativa de envio.</w:t>
            </w:r>
          </w:p>
        </w:tc>
        <w:tc>
          <w:tcPr>
            <w:tcW w:type="dxa" w:w="3408"/>
            <w:vAlign w:val="top"/>
          </w:tcPr>
          <w:p>
            <w:r>
              <w:t>Preferível quando existe um evento de concessão inequívoco.</w:t>
            </w:r>
          </w:p>
        </w:tc>
      </w:tr>
      <w:tr>
        <w:tc>
          <w:tcPr>
            <w:tcW w:type="dxa" w:w="3408"/>
            <w:vAlign w:val="top"/>
          </w:tcPr>
          <w:p>
            <w:r>
              <w:t>DATA_INICIO_CONCESSAO</w:t>
            </w:r>
          </w:p>
        </w:tc>
        <w:tc>
          <w:tcPr>
            <w:tcW w:type="dxa" w:w="3408"/>
            <w:vAlign w:val="top"/>
          </w:tcPr>
          <w:p>
            <w:r>
              <w:t>Benefício cujo contrato exige recebimento até N dias após o início da concessão/vigência.</w:t>
            </w:r>
          </w:p>
        </w:tc>
        <w:tc>
          <w:tcPr>
            <w:tcW w:type="dxa" w:w="3408"/>
            <w:vAlign w:val="top"/>
          </w:tcPr>
          <w:p>
            <w:r>
              <w:t>Não usar só porque o Benefício possui data de início.</w:t>
            </w:r>
          </w:p>
        </w:tc>
      </w:tr>
      <w:tr>
        <w:tc>
          <w:tcPr>
            <w:tcW w:type="dxa" w:w="3408"/>
            <w:vAlign w:val="top"/>
          </w:tcPr>
          <w:p>
            <w:r>
              <w:t>DATA_FIM_CONCESSAO</w:t>
            </w:r>
          </w:p>
        </w:tc>
        <w:tc>
          <w:tcPr>
            <w:tcW w:type="dxa" w:w="3408"/>
            <w:vAlign w:val="top"/>
          </w:tcPr>
          <w:p>
            <w:r>
              <w:t>Benefício cuja obrigação de informar nasce no encerramento da concessão/período.</w:t>
            </w:r>
          </w:p>
        </w:tc>
        <w:tc>
          <w:tcPr>
            <w:tcW w:type="dxa" w:w="3408"/>
            <w:vAlign w:val="top"/>
          </w:tcPr>
          <w:p>
            <w:r>
              <w:t>Adequado somente quando o encerramento dispara o envio.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SOURCE_AS_OF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Snapshots/posições em que a data de referência da fonte é o próprio marco esperado.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Não confundir com horário técnico de extração quando houver outro marco de negócio.</w:t>
            </w:r>
          </w:p>
        </w:tc>
      </w:tr>
    </w:tbl>
    <w:p>
      <w:pPr>
        <w:pStyle w:val="Heading1"/>
      </w:pPr>
      <w:r>
        <w:t>5. Exemplos sintéticos da Solution</w:t>
      </w:r>
    </w:p>
    <w:p>
      <w:r>
        <w:t>Os valores abaixo existem apenas para demonstrar o mecanismo e o dashboard. Não constituem SLA oficial da Prefeitura.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Tipo</w:t>
            </w:r>
          </w:p>
        </w:tc>
        <w:tc>
          <w:tcPr>
            <w:tcW w:type="dxa" w:w="2045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Natureza</w:t>
            </w:r>
          </w:p>
        </w:tc>
        <w:tc>
          <w:tcPr>
            <w:tcW w:type="dxa" w:w="2045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Prazo sintético</w:t>
            </w:r>
          </w:p>
        </w:tc>
        <w:tc>
          <w:tcPr>
            <w:tcW w:type="dxa" w:w="2045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Marco sintético</w:t>
            </w:r>
          </w:p>
        </w:tc>
        <w:tc>
          <w:tcPr>
            <w:tcW w:type="dxa" w:w="2045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Interpretação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AA01</w:t>
            </w:r>
          </w:p>
        </w:tc>
        <w:tc>
          <w:tcPr>
            <w:tcW w:type="dxa" w:w="2045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BENEFICIO</w:t>
            </w:r>
          </w:p>
        </w:tc>
        <w:tc>
          <w:tcPr>
            <w:tcW w:type="dxa" w:w="2045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7 dias</w:t>
            </w:r>
          </w:p>
        </w:tc>
        <w:tc>
          <w:tcPr>
            <w:tcW w:type="dxa" w:w="2045"/>
            <w:vAlign w:val="top"/>
          </w:tcPr>
          <w:p>
            <w:r>
              <w:t>DATA_EVENTO_CONCESSAO</w:t>
            </w:r>
          </w:p>
        </w:tc>
        <w:tc>
          <w:tcPr>
            <w:tcW w:type="dxa" w:w="2045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Exemplo de benefício com evento explícito de referência.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AR01</w:t>
            </w:r>
          </w:p>
        </w:tc>
        <w:tc>
          <w:tcPr>
            <w:tcW w:type="dxa" w:w="2045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BENEFICIO</w:t>
            </w:r>
          </w:p>
        </w:tc>
        <w:tc>
          <w:tcPr>
            <w:tcW w:type="dxa" w:w="2045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7 dias</w:t>
            </w:r>
          </w:p>
        </w:tc>
        <w:tc>
          <w:tcPr>
            <w:tcW w:type="dxa" w:w="2045"/>
            <w:vAlign w:val="top"/>
          </w:tcPr>
          <w:p>
            <w:r>
              <w:t>DATA_EVENTO_CONCESSAO</w:t>
            </w:r>
          </w:p>
        </w:tc>
        <w:tc>
          <w:tcPr>
            <w:tcW w:type="dxa" w:w="2045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Exemplo de benefício; regra real deve ser validada pelo Gestor.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POT1</w:t>
            </w:r>
          </w:p>
        </w:tc>
        <w:tc>
          <w:tcPr>
            <w:tcW w:type="dxa" w:w="2045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BENEFICIO</w:t>
            </w:r>
          </w:p>
        </w:tc>
        <w:tc>
          <w:tcPr>
            <w:tcW w:type="dxa" w:w="2045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7 dias</w:t>
            </w:r>
          </w:p>
        </w:tc>
        <w:tc>
          <w:tcPr>
            <w:tcW w:type="dxa" w:w="2045"/>
            <w:vAlign w:val="top"/>
          </w:tcPr>
          <w:p>
            <w:r>
              <w:t>DATA_EVENTO_CONCESSAO</w:t>
            </w:r>
          </w:p>
        </w:tc>
        <w:tc>
          <w:tcPr>
            <w:tcW w:type="dxa" w:w="2045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Exemplo de benefício/programa com evento contratual.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CRA1</w:t>
            </w:r>
          </w:p>
        </w:tc>
        <w:tc>
          <w:tcPr>
            <w:tcW w:type="dxa" w:w="2045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SERVICO</w:t>
            </w:r>
          </w:p>
        </w:tc>
        <w:tc>
          <w:tcPr>
            <w:tcW w:type="dxa" w:w="2045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7 dias</w:t>
            </w:r>
          </w:p>
        </w:tc>
        <w:tc>
          <w:tcPr>
            <w:tcW w:type="dxa" w:w="2045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DATA_HORA_SERVICO</w:t>
            </w:r>
          </w:p>
        </w:tc>
        <w:tc>
          <w:tcPr>
            <w:tcW w:type="dxa" w:w="2045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Recebido após 7 dias corridos da realização é classificado como atraso.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CPO1</w:t>
            </w:r>
          </w:p>
        </w:tc>
        <w:tc>
          <w:tcPr>
            <w:tcW w:type="dxa" w:w="2045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SERVICO</w:t>
            </w:r>
          </w:p>
        </w:tc>
        <w:tc>
          <w:tcPr>
            <w:tcW w:type="dxa" w:w="2045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7 dias</w:t>
            </w:r>
          </w:p>
        </w:tc>
        <w:tc>
          <w:tcPr>
            <w:tcW w:type="dxa" w:w="2045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DATA_HORA_SERVICO</w:t>
            </w:r>
          </w:p>
        </w:tc>
        <w:tc>
          <w:tcPr>
            <w:tcW w:type="dxa" w:w="2045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Mesmo mecanismo para Serviço Centro POP.</w:t>
            </w:r>
          </w:p>
        </w:tc>
      </w:tr>
    </w:tbl>
    <w:p>
      <w:r/>
    </w:p>
    <w:p>
      <w:pPr>
        <w:pStyle w:val="Heading1"/>
      </w:pPr>
      <w:r>
        <w:t>6. Configuração física por versão do Tipo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Campo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Regra Fase 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Efeito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monitorar_atraso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0 ou 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Define se o Tipo participa do cálculo e do dashboard.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prazo_recebimento_dias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0..3650, obrigatório quando monitorar_atraso=1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Prazo em dias corridos.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marco_atraso_codigo</w:t>
            </w:r>
          </w:p>
        </w:tc>
        <w:tc>
          <w:tcPr>
            <w:tcW w:type="dxa" w:w="3408"/>
            <w:vAlign w:val="top"/>
          </w:tcPr>
          <w:p>
            <w:r>
              <w:t>DATA_EVENTO_CONCESSAO | DATA_INICIO_CONCESSAO | DATA_FIM_CONCESSAO | DATA_HORA_SERVICO | SOURCE_AS_OF</w:t>
            </w:r>
          </w:p>
        </w:tc>
        <w:tc>
          <w:tcPr>
            <w:tcW w:type="dxa" w:w="3408"/>
            <w:vAlign w:val="top"/>
          </w:tcPr>
          <w:p>
            <w:r>
              <w:t>Seleciona o marco factual canônico e semanticamente específico.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recebido_em</w:t>
            </w:r>
          </w:p>
        </w:tc>
        <w:tc>
          <w:tcPr>
            <w:tcW w:type="dxa" w:w="3408"/>
            <w:vAlign w:val="top"/>
          </w:tcPr>
          <w:p>
            <w:r>
              <w:t>Gerado pelo servidor da API; UTC</w:t>
            </w:r>
          </w:p>
        </w:tc>
        <w:tc>
          <w:tcPr>
            <w:tcW w:type="dxa" w:w="3408"/>
            <w:vAlign w:val="top"/>
          </w:tcPr>
          <w:p>
            <w:r>
              <w:t>Instante oficial em que a Jornada aceitou o ZIP. Não é informado pelo Gestor e não possui default concorrente no banco.</w:t>
            </w:r>
          </w:p>
        </w:tc>
      </w:tr>
    </w:tbl>
    <w:p>
      <w:pPr>
        <w:pStyle w:val="Heading1"/>
      </w:pPr>
      <w:r>
        <w:t>7. Cálculo e estados</w:t>
      </w:r>
    </w:p>
    <w:p>
      <w:r>
        <w:t>Na Fase 1, data_recebimento_sla é a data civil obtida após converter recebido_em UTC para o fuso institucional de São Paulo. dias_para_recebimento é a diferença em dias corridos entre a data do marco e data_recebimento_sla. dias_atraso = max(dias_para_recebimento − prazo_recebimento_dias, 0). A view normativa de consumo é serving.v_bi_atrasos. A conversão para DATE não pode ser feita diretamente sobre o timestamp UTC, pois Entregas recebidas após 21h locais ainda pertencem ao mesmo dia operacional em São Paulo.</w:t>
      </w:r>
    </w:p>
    <w:p>
      <w:pPr/>
      <w:r>
        <w:t>A janela exclusiva do Processor/Linkage não altera o SLA de Atraso de Recebimento: recebido_em é fixado pela API no aceite do ZIP, que permanece disponível durante o linkage. O backlog provocado pelo gate pode aumentar a latência operacional entre recebido_em e ultima_atualizacao/processamento; essa duração deve permanecer visível como métrica de operação e não deve ser descontada do SLA factual. Quando necessário, a operação pode decompor tempo em fila e tempo efetivo de processamento para diagnóstico.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Condição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status_atraso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dias_atraso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Marco ausente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SEM_MARCO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NULL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Marco posterior ao recebimento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DATA_FUTURA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NULL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Latência ≤ prazo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NO_PRAZO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Latência &gt; prazo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EM_ATRASO</w:t>
            </w:r>
          </w:p>
        </w:tc>
        <w:tc>
          <w:tcPr>
            <w:tcW w:type="dxa" w:w="3408"/>
            <w:vAlign w:val="top"/>
          </w:tcPr>
          <w:p>
            <w:pPr>
              <w:spacing w:before="0" w:after="0"/>
            </w:pPr>
            <w:r>
              <w:rPr>
                <w:sz w:val="16"/>
              </w:rPr>
              <w:t>latência − prazo</w:t>
            </w:r>
          </w:p>
        </w:tc>
      </w:tr>
    </w:tbl>
    <w:p>
      <w:pPr>
        <w:pStyle w:val="Heading1"/>
      </w:pPr>
      <w:r>
        <w:t>8. Faixas operacionais</w:t>
      </w:r>
    </w:p>
    <w:p>
      <w:r>
        <w:t>Para leitura gerencial, a view também produz NO_PRAZO, 1–3_DIAS, 4–7_DIAS, 8–30_DIAS e 31+_DIAS, mantendo SEM_MARCO e DATA_FUTURA separados.</w:t>
      </w:r>
    </w:p>
    <w:p>
      <w:r/>
    </w:p>
    <w:p>
      <w:pPr>
        <w:pStyle w:val="Heading1"/>
      </w:pPr>
      <w:r/>
      <w:r>
        <w:t>9. Dashboard de Atraso</w:t>
      </w:r>
    </w:p>
    <w:p>
      <w:r/>
      <w:r/>
      <w:r>
        <w:t>A página cruza Benefícios Concedidos e Serviços Prestados e deve permitir filtros por Natureza, Gestor, Tipo, período e Subprefeitura/Distrito quando disponíveis na Referência Territorial associada ao fato. No PBIP, os indicadores incluem Registros Monitorados, Registros em Atraso, % em Atraso, Atraso Médio e P95; Atraso Máximo também está disponível no modelo. O mockup ilustrativo abaixo mostra o núcleo visual; distribuição por faixa e tendência temporal são recomendadas para operação.</w:t>
      </w:r>
    </w:p>
    <w:p>
      <w:pPr>
        <w:jc w:val="center"/>
      </w:pPr>
      <w:r/>
    </w:p>
    <w:p>
      <w:pPr>
        <w:pStyle w:val="Heading1"/>
      </w:pPr>
      <w:r>
        <w:t>10. Governança antes de Produção</w:t>
      </w:r>
    </w:p>
    <w:p>
      <w:pPr>
        <w:pStyle w:val="ListBullet"/>
      </w:pPr>
      <w:r>
        <w:t>Cada Gestor deve aprovar o SLA real de cada Tipo/versão e a semântica do marco escolhido.</w:t>
      </w:r>
    </w:p>
    <w:p>
      <w:pPr>
        <w:pStyle w:val="ListBullet"/>
      </w:pPr>
      <w:r>
        <w:t>A aprovação deve registrar se o prazo é regulatório, contratual, operacional ou apenas meta interna.</w:t>
      </w:r>
    </w:p>
    <w:p>
      <w:pPr>
        <w:pStyle w:val="ListBullet"/>
      </w:pPr>
      <w:r>
        <w:t>A Fase 1 implementa dias corridos. Se houver exigência de dias úteis/feriados, a regra deve ser modelada e homologada antes de ativar esse SLA.</w:t>
      </w:r>
    </w:p>
    <w:p>
      <w:pPr>
        <w:pStyle w:val="ListBullet"/>
      </w:pPr>
      <w:r>
        <w:t>Mudanças históricas não devem reclassificar silenciosamente dados antigos: a regra fica versionada no Tipo.</w:t>
      </w:r>
    </w:p>
    <w:p>
      <w:pPr>
        <w:pStyle w:val="ListBullet"/>
      </w:pPr>
      <w:r>
        <w:t>O BI deve sempre exibir SEM_MARCO e DATA_FUTURA como qualidade para evitar melhorar artificialmente o indicador de prazo.</w:t>
      </w:r>
    </w:p>
    <w:p>
      <w:pPr/>
      <w:r>
        <w:t>Regra de fuso institucional: indicadores de calendário e SLA usam São Paulo como referência civil. A persistência continua em UTC; a conversão é feita apenas na leitura/cálculo que necessite de data local.</w:t>
      </w:r>
    </w:p>
    <w:p>
      <w:pPr>
        <w:pStyle w:val="Heading1"/>
      </w:pPr>
      <w:r>
        <w:t>Nota v1.13 / v3.45</w:t>
      </w:r>
    </w:p>
    <w:p>
      <w:r>
        <w:t>O SLA de atraso de recebimento permanece independente da serialização do Processor e das correções governadas de identidade. modo_carga_inicial e eventuais reaberturas operacionais de lote por causas distintas da correção de identidade afetam latência operacional de materialização, não recebido_em nem o marco factual. Os valores a calibrar em HML são consolidados em Solution/docs/HML_Parametros.md.</w:t>
      </w:r>
    </w:p>
    <w:p>
      <w:pPr>
        <w:pStyle w:val="Heading1"/>
      </w:pPr>
      <w:r>
        <w:t>Nota v1.13 / v3.45</w:t>
      </w:r>
    </w:p>
    <w:p>
      <w:r>
        <w:t>A distinção entre fato e atribuição de identidade não altera a semântica de atraso de recebimento: SLA mede a atualidade da declaração recebida por Tipo/Gestor, independentemente de a atribuição canônica do sujeito estar pendente ou em conflito.</w:t>
      </w:r>
    </w:p>
    <w:p>
      <w:pPr>
        <w:pStyle w:val="Heading1"/>
      </w:pPr>
      <w:r>
        <w:t>Nota de compatibilidade v1.16 / Solution v3.48</w:t>
      </w:r>
    </w:p>
    <w:p>
      <w:r>
        <w:t>A v3.48 renomeia os marcos de Benefício para DATA_EVENTO_CONCESSAO, DATA_INICIO_CONCESSAO e DATA_FIM_CONCESSAO, eliminando ambiguidade com futuros fatos pagos/recebidos. O prazo continua por Tipo/versão, e os valores reais permanecem sujeitos à homologação de cada Gestor.</w:t>
      </w:r>
    </w:p>
    <w:p>
      <w:pPr>
        <w:pStyle w:val="Heading1"/>
      </w:pPr>
      <w:r>
        <w:t>Nota de compatibilidade v1.17 / Solution v3.49</w:t>
      </w:r>
    </w:p>
    <w:p>
      <w:r>
        <w:t>A v3.49 não altera a definição do SLA de recebimento. Replay técnico continua preso ao contrato original da Entrega; a nova semântica de janela não verificável pertence ao QC de concessão, não ao cálculo de atraso de recebimento.</w:t>
      </w:r>
    </w:p>
    <w:p>
      <w:pPr>
        <w:pStyle w:val="Heading1"/>
      </w:pPr>
      <w:r>
        <w:t>Nota v1.18 / Solution v3.50</w:t>
      </w:r>
    </w:p>
    <w:p>
      <w:r>
        <w:t>A v3.50 não altera regras de SLA. A revisão é documental/institucional e mantém integralmente a semântica de recebido_em e dos marcos de Benefício Concedido.</w:t>
      </w:r>
    </w:p>
    <w:p>
      <w:pPr>
        <w:pStyle w:val="Heading2"/>
      </w:pPr>
      <w:r>
        <w:t>Nota v1.19 / Solution v3.51</w:t>
      </w:r>
    </w:p>
    <w:p>
      <w:r>
        <w:t>A v3.51 não altera regras de SLA; a revisão acompanha apenas a nomenclatura de Pessoa e a referência institucional a Programa Reencontro.</w:t>
      </w:r>
    </w:p>
    <w:p>
      <w:pPr>
        <w:pStyle w:val="Heading1"/>
      </w:pPr>
      <w:r>
        <w:t>Atualização v1.20 / Solution v3.52</w:t>
      </w:r>
    </w:p>
    <w:p>
      <w:r>
        <w:t>A v3.52 não altera regras de SLA, marcos ou recebido_em. A revisão acompanha apenas o alinhamento documental da Solution.</w:t>
      </w:r>
    </w:p>
    <w:p>
      <w:pPr>
        <w:pStyle w:val="Heading1"/>
      </w:pPr>
      <w:r>
        <w:t>Atualização v1.21 / Solution v3.53</w:t>
      </w:r>
    </w:p>
    <w:p>
      <w:r>
        <w:t>A v3.53 não altera marcos nem cálculo de SLA. Scheduler/watchdog observam execução do pipeline e não mudam recebido_em, data de referência ou classificação de atraso.</w:t>
      </w:r>
    </w:p>
    <w:p>
      <w:pPr>
        <w:pStyle w:val="Heading1"/>
      </w:pPr>
      <w:r>
        <w:t>Atualização v1.22 / Solution v3.55</w:t>
      </w:r>
    </w:p>
    <w:p>
      <w:pPr/>
      <w:r>
        <w:t>A v3.55 não altera SLA, marco temporal ou semântica de atraso. Os harnesses podem medir duração operacional e backlog em Development/HML, mas não redefinem o SLA institucional nem seus thresholds.</w:t>
      </w:r>
    </w:p>
    <w:sectPr w:rsidR="00FC693F" w:rsidRPr="0006063C" w:rsidSect="00034616">
      <w:footerReference w:type="default" r:id="rId9"/>
      <w:head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Jornada do Cidadão  •  SLA de Recebimento  •  Página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de SLA e Atraso de Recebimento v1.22</dc:title>
  <dc:subject>Jornada do Cidadão — Fase 1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1.11</cp:version>
</cp:coreProperties>
</file>