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Jornada</w:t>
        <w:br/>
        <w:t>Anexo de Segurança, Auditoria e Controle de Acesso</w:t>
      </w:r>
    </w:p>
    <w:p>
      <w:pPr>
        <w:jc w:val="center"/>
      </w:pPr>
      <w:r>
        <w:t>Documento auxiliar à Especificação Técnica v3.60</w:t>
        <w:br/>
        <w:t>Versão 1.34 • agosto de 2026</w:t>
      </w:r>
    </w:p>
    <w:p>
      <w:r>
        <w:t>Objetivo. Consolidar o compartilhamento municipal por padrão da Pessoa, as exceções negativas versionadas de projeção, o rate limiting e a trilha de auditoria. A Fase 1 não usa finalidade declarada como mecanismo técnico de autorização. A Jornada autentica/autoriza a credencial de integração, mas não controla nem autentica os agentes humanos dos sistemas finalísticos. Este anexo não substitui a definição institucional de base legal, finalidade, necessidade ou sigilo aplicável ao tratamento de dados.</w:t>
      </w:r>
    </w:p>
    <w:p>
      <w:pPr>
        <w:pStyle w:val="Heading1"/>
      </w:pPr>
      <w:r>
        <w:t>1. Regra de decisão</w:t>
      </w:r>
    </w:p>
    <w:p>
      <w:r>
        <w:t>Cada consulta funcional exige credencial válida e scope aplicável; credenciais de Tipo permanecem limitadas ao próprio recurso/schema. A existência da Pessoa e o conjunto municipal compartilhado de identificação não dependem de vínculo prévio para GESTOR, BENEFICIO ou SERVICO. Depois dessa etapa, atributos transversais, Registros e Possibilidades podem ser reduzidos por restrições ATIVAS versionadas do Gestor responsável pela informação. Não existe X-Jornada-Finalidade na fronteira da Fase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Contexto</w:t>
            </w:r>
          </w:p>
        </w:tc>
        <w:tc>
          <w:tcPr>
            <w:tcW w:type="dxa" w:w="2520"/>
          </w:tcPr>
          <w:p>
            <w:r>
              <w:t>Regra de acesso</w:t>
            </w:r>
          </w:p>
        </w:tc>
        <w:tc>
          <w:tcPr>
            <w:tcW w:type="dxa" w:w="2520"/>
          </w:tcPr>
          <w:p>
            <w:r>
              <w:t>Resultado</w:t>
            </w:r>
          </w:p>
        </w:tc>
        <w:tc>
          <w:tcPr>
            <w:tcW w:type="dxa" w:w="2520"/>
          </w:tcPr>
          <w:p>
            <w:r>
              <w:t>Resultado</w:t>
            </w:r>
          </w:p>
        </w:tc>
      </w:tr>
      <w:tr>
        <w:tc>
          <w:tcPr>
            <w:tcW w:type="dxa" w:w="2520"/>
          </w:tcPr>
          <w:p>
            <w:r>
              <w:t>GESTOR</w:t>
            </w:r>
          </w:p>
        </w:tc>
        <w:tc>
          <w:tcPr>
            <w:tcW w:type="dxa" w:w="2520"/>
          </w:tcPr>
          <w:p>
            <w:r>
              <w:t>Credencial válida + scope + schema + restrições aplicáveis; sem vínculo prévio</w:t>
            </w:r>
          </w:p>
        </w:tc>
        <w:tc>
          <w:tcPr>
            <w:tcW w:type="dxa" w:w="2520"/>
          </w:tcPr>
          <w:p>
            <w:r>
              <w:t>Pode localizar Pessoa e abrir a projeção municipal autorizada.</w:t>
            </w:r>
          </w:p>
        </w:tc>
        <w:tc>
          <w:tcPr>
            <w:tcW w:type="dxa" w:w="2520"/>
          </w:tcPr>
          <w:p>
            <w:r>
              <w:t>Pode localizar Pessoa e abrir a projeção municipal autorizada.</w:t>
            </w:r>
          </w:p>
        </w:tc>
      </w:tr>
      <w:tr>
        <w:tc>
          <w:tcPr>
            <w:tcW w:type="dxa" w:w="2520"/>
          </w:tcPr>
          <w:p>
            <w:r>
              <w:t>BENEFICIO/SERVICO</w:t>
            </w:r>
          </w:p>
        </w:tc>
        <w:tc>
          <w:tcPr>
            <w:tcW w:type="dxa" w:w="2520"/>
          </w:tcPr>
          <w:p>
            <w:r>
              <w:t>Credencial válida + próprio recurso + scope + schema; sem vínculo prévio</w:t>
            </w:r>
          </w:p>
        </w:tc>
        <w:tc>
          <w:tcPr>
            <w:tcW w:type="dxa" w:w="2520"/>
          </w:tcPr>
          <w:p>
            <w:r>
              <w:t>Pode localizar/consultar a população municipal mantendo a fronteira do código de Tipo.</w:t>
            </w:r>
          </w:p>
        </w:tc>
        <w:tc>
          <w:tcPr>
            <w:tcW w:type="dxa" w:w="2520"/>
          </w:tcPr>
          <w:p>
            <w:r>
              <w:t>Pode localizar/consultar a população municipal quando autorizado, mantendo a fronteira do código de Tipo.</w:t>
            </w:r>
          </w:p>
        </w:tc>
      </w:tr>
      <w:tr>
        <w:tc>
          <w:tcPr>
            <w:tcW w:type="dxa" w:w="2520"/>
          </w:tcPr>
          <w:p>
            <w:r>
              <w:t>Consulta em lote</w:t>
            </w:r>
          </w:p>
        </w:tc>
        <w:tc>
          <w:tcPr>
            <w:tcW w:type="dxa" w:w="2520"/>
          </w:tcPr>
          <w:p>
            <w:r>
              <w:t>Cardinalidade do endpoint; autorização atômica; rate limit por CredentialId/classe de rota</w:t>
            </w:r>
          </w:p>
        </w:tc>
        <w:tc>
          <w:tcPr>
            <w:tcW w:type="dxa" w:w="2520"/>
          </w:tcPr>
          <w:p>
            <w:r>
              <w:t>Não revela qual UUID falhou em autorização/projeção.</w:t>
            </w:r>
          </w:p>
        </w:tc>
        <w:tc>
          <w:tcPr>
            <w:tcW w:type="dxa" w:w="2520"/>
          </w:tcPr>
          <w:p>
            <w:r>
              <w:t>Mesma população municipal, com controles operacionais reforçados.</w:t>
            </w:r>
          </w:p>
        </w:tc>
      </w:tr>
      <w:tr>
        <w:tc>
          <w:tcPr>
            <w:tcW w:type="dxa" w:w="2520"/>
          </w:tcPr>
          <w:p>
            <w:r>
              <w:t>qualquer</w:t>
            </w:r>
          </w:p>
        </w:tc>
        <w:tc>
          <w:tcPr>
            <w:tcW w:type="dxa" w:w="2520"/>
          </w:tcPr>
          <w:p>
            <w:r>
              <w:t>Restrição negativa ATIVA por Gestor consumidor e alvo</w:t>
            </w:r>
          </w:p>
        </w:tc>
        <w:tc>
          <w:tcPr>
            <w:tcW w:type="dxa" w:w="2520"/>
          </w:tcPr>
          <w:p>
            <w:r>
              <w:t>Reduz somente a projeção; não apaga a existência da Pessoa nem concede permissão.</w:t>
            </w:r>
          </w:p>
        </w:tc>
        <w:tc>
          <w:tcPr>
            <w:tcW w:type="dxa" w:w="2520"/>
          </w:tcPr>
          <w:p>
            <w:r>
              <w:t>400 para código inexistente/inativo ou 403 para credencial sem autorização; nenhuma leitura funcional.</w:t>
            </w:r>
          </w:p>
        </w:tc>
      </w:tr>
      <w:tr>
        <w:tc>
          <w:tcPr>
            <w:tcW w:type="dxa" w:w="2520"/>
          </w:tcPr>
          <w:p>
            <w:r>
              <w:t>qualquer</w:t>
            </w:r>
          </w:p>
        </w:tc>
        <w:tc>
          <w:tcPr>
            <w:tcW w:type="dxa" w:w="2520"/>
          </w:tcPr>
          <w:p>
            <w:r>
              <w:t>Sem restrição ATIVA aplicável</w:t>
            </w:r>
          </w:p>
        </w:tc>
        <w:tc>
          <w:tcPr>
            <w:tcW w:type="dxa" w:w="2520"/>
          </w:tcPr>
          <w:p>
            <w:r>
              <w:t>Prevalece a projeção municipal padrão autorizada por scope/schema.</w:t>
            </w:r>
          </w:p>
        </w:tc>
        <w:tc>
          <w:tcPr>
            <w:tcW w:type="dxa" w:w="2520"/>
          </w:tcPr>
          <w:p>
            <w:r>
              <w:t>Sem regra ATIVA aplicável, prevalece a projeção municipal padrão.</w:t>
            </w:r>
          </w:p>
        </w:tc>
      </w:tr>
    </w:tbl>
    <w:p>
      <w:pPr>
        <w:pStyle w:val="Heading1"/>
      </w:pPr>
      <w:r>
        <w:t>2. Não enumeração</w:t>
      </w:r>
    </w:p>
    <w:p>
      <w:r>
        <w:t>Falha de autorização/projeção em consulta individual deve evitar enumeração indevida, mas não existe mais uma fronteira populacional por Tipo. A resolução por CPF pode aceitar qualquer tipo de credencial a que seja concedido jornada.identidade.resolve e não oculta uma identidade existente por falta de observação/fato prévio. O CPF do munícipe não é persistido em logs ou auditoria HTTP.</w:t>
      </w:r>
    </w:p>
    <w:p>
      <w:pPr>
        <w:pStyle w:val="Heading1"/>
      </w:pPr>
      <w:r>
        <w:t>3. Auditoria individual e em lote</w:t>
      </w:r>
    </w:p>
    <w:p>
      <w:r>
        <w:t>controle.api_evento mantém a trilha da requisição. Para alvo único, pessoa_uuid fica na própria linha; para consultas em lote, controle.api_evento_pessoa mantém todos os UUIDs associados ao mesmo api_evento_id/correlation_id. Não são registrados corpo HTTP, access key, CPF do munícipe ou CPF do agente em claro.</w:t>
      </w:r>
    </w:p>
    <w:p>
      <w:pPr>
        <w:jc w:val="center"/>
      </w:pPr>
      <w:r>
        <w:t>Identificação opcional do agente. O sistema finalístico pode enviar X-Jornada-Agente-CPF sob responsabilidade do próprio Gestor. A Jornada não exige gov.br, AD ou qualquer mecanismo de autenticação do agente e não verifica a associação usuário-CPF. Quando o header é informado, a API valida o CPF, remove o header antes de seguir o pipeline, calcula HMAC-SHA-256 determinístico com chave secreta/versionada da instalação e persiste apenas agente_cpf_hash BINARY(32) e agente_hash_versao. Processos automáticos podem omitir o header.</w:t>
      </w:r>
    </w:p>
    <w:p>
      <w:r>
        <w:t>Metadados mínimos: credencial, Gestor, correlation id, rota template, método, status HTTP, duração, recurso lógico, UUID(s) alvo, instante e, quando declarado pela finalística, HMAC versionado do CPF do agente. Índices por Pessoa/agente pseudonimizado permitem investigação temporal sob acesso restrito. O BI não publica esses identificadores individuais.</w:t>
      </w:r>
    </w:p>
    <w:p>
      <w:pPr>
        <w:pStyle w:val="Heading1"/>
      </w:pPr>
      <w:r>
        <w:t>4. Proteção contra enumeração e abuso</w:t>
      </w:r>
    </w:p>
    <w:p>
      <w:r>
        <w:t>Cardinalidade é propriedade do endpoint. POST /api/v1/pessoas/consulta aceita a faixa definida em contrato (1 a 1000 UUIDs), e a aplicação autoriza o conjunto atomicamente. Rate limits pós-autenticação são particionados por CredentialId e classe de endpoint; não dependem de motivo declarado pelo consumidor. Não existe tratamento especial PRIMEIRO_ATENDIMENTO.</w:t>
      </w:r>
    </w:p>
    <w:p>
      <w:pPr>
        <w:pStyle w:val="Heading1"/>
      </w:pPr>
      <w:r>
        <w:t>5. HML e Produção</w:t>
      </w:r>
    </w:p>
    <w:p>
      <w:r>
        <w:t>A v3.48 continua deny-by-default fora de Development enquanto a identidade corporativa da credencial de integração não estiver conectada. O processo pode subir e expor health, mas nenhuma credencial funcional é aceita. A entrada em HML exige IdP/secret store corporativo para as credenciais da Jornada, homologação de scopes/recursos, exceções negativas reais de projeção e instrumentos de compartilhamento. Isso não autoriza a Jornada a definir como cada sistema finalístico autentica seus agentes.</w:t>
      </w:r>
    </w:p>
    <w:p>
      <w:pPr>
        <w:pStyle w:val="Heading1"/>
      </w:pPr>
      <w:r>
        <w:t>6. Testes de referência</w:t>
      </w:r>
    </w:p>
    <w:p>
      <w:r>
        <w:t>A suíte de referência testa ausência de vínculo prévio para GESTOR e credenciais de Tipo, fronteira por recurso de BENEFICIO/SERVICO, HMAC opcional do CPF do agente, QC, rate limiting por classe de endpoint, pipeline HTTP fail-closed e contratos de ingestão. O workflow de CI deve executar unitários e, em job separado com SQL Server, testes Integration contra DDL/seed reais.</w:t>
      </w:r>
    </w:p>
    <w:p>
      <w:pPr>
        <w:pStyle w:val="Heading2"/>
      </w:pPr>
      <w:r>
        <w:t>7. Rate limiting e alerta volumétrico</w:t>
      </w:r>
    </w:p>
    <w:p>
      <w:r>
        <w:t>O rate limiting opera em duas camadas. A borda aplica limite bruto por RemoteIpAddress normalizado, com margem maior e sem usar X-Jornada-Gestor/Benefício/Serviço como partição antes da autenticação. Depois de resolver a credencial, a aplicação usa CredentialId + classe de rota para os limites institucionais (referência da distribuição: INGESTAO 20/min, IDENTIDADE 30/min, PESSOA 120/min e STANDARD 120/min). Forwarded Headers só é aceito de proxies explicitamente confiáveis. Os valores finais devem ser calibrados em HML.</w:t>
      </w:r>
    </w:p>
    <w:p>
      <w:r>
        <w:t>A observabilidade volumétrica deve usar metadados objetivos de controle por Gestor, credencial, rota e janela temporal. Alertas corporativos podem ser definidos sobre comportamento anômalo sem depender de rótulo de finalidade informado pelo consumidor. UUID/CPF/access key não devem aparecer em logs operacionais.</w:t>
      </w:r>
    </w:p>
    <w:p>
      <w:r>
        <w:t>Não existe consulta SQL de vínculo populacional por Pessoa para BENEFICIO/SERVICO. A fronteira técnica dessas credenciais é o recurso autorizado, seus scopes e schema. HML deve validar o plano das consultas de projeção/restrição e a cardinalidade dos endpoints, não AllHaveRelationshipAsync nem catálogo de finalidade.</w:t>
      </w:r>
    </w:p>
    <w:p>
      <w:r>
        <w:t>Proteção especial e sigilo usam mecanismo técnico explícito de exceção: controle.restricao_projecao_jornada_versao. A tabela não inventa a política material; cada restrição precisa ser declarada pelo Gestor finalístico responsável, com versão, vigência, fundamento legal, justificativa e ato_referencia do processo/ato institucional. Sem restrição ATIVA aplicável, prevalece a projeção municipal padrão.</w:t>
      </w:r>
    </w:p>
    <w:p>
      <w:r>
        <w:t>8. Restrições de projeção. controle.fn_projecao_jornada_permitida aplica exceções a ATRIBUTO_PESSOA, REGISTRO e POSSIBILIDADE, considerando Gestor responsável, Gestor consumidor e alvo. Uma restrição só pode ser ativada com alvo válido, reduzindo o risco de regra negativa silenciosamente inoperante por erro de código. Restrições só reduzem a projeção já autorizada por schema/scope; nunca concedem acesso. O conteúdo material de uma versão é imutável e ausência de regra ATIVA significa projeção municipal padrão.</w:t>
      </w:r>
    </w:p>
    <w:p>
      <w:pPr/>
      <w:r>
        <w:t>9. Obrigação do sistema consumidor para alertas sensíveis</w:t>
      </w:r>
    </w:p>
    <w:p>
      <w:pPr/>
      <w:r>
        <w:t>Fase 2 — alertas sensíveis. Se uma futura tipologia de óbito for implementada, a interface finalística deverá preservar a redação institucional definida na Especificação Técnica, a proibição de efeitos automáticos e a regra de minimização. Essas obrigações deverão constar do termo de adesão/credenciamento e do instrumento de compartilhamento aplicável. A Fase 1 não gera tipologia de óbito nem envia esse alerta.</w:t>
      </w:r>
    </w:p>
    <w:p>
      <w:pPr/>
      <w:r>
        <w:t>Auditoria de origem. codigoSistemaOrigem e as chaves locais integram a proveniência do dado e não substituem autenticação/autorização. A autenticação do agente humano e a veracidade do CPF eventualmente enviado em X-Jornada-Agente-CPF pertencem ao Gestor finalístico. A Jornada audita sua própria fronteira por credencial/Gestor/correlation_id e pode conservar somente o HMAC do CPF declarado para correlação. Chaves de acesso continuam fora de payloads e logs.</w:t>
      </w:r>
    </w:p>
    <w:p>
      <w:pPr>
        <w:pStyle w:val="Heading2"/>
      </w:pPr>
      <w:r>
        <w:t>10. CPF na Fase 1</w:t>
      </w:r>
    </w:p>
    <w:p>
      <w:pPr/>
      <w:r>
        <w:t>A Fase 1 não adota criptografia aplicacional por coluna nem tokenização do CPF do munícipe nas tabelas operacionais restritas que necessitam dele para resolução determinística e qualidade. Esse CPF não é dimensão/coluna do Power BI nem integra logs HTTP. O CPF do agente tem tratamento diferente: se a finalística optar por informá-lo, ele nunca é persistido em claro; somente HMAC-SHA-256 versionado é gravado em controle.api_evento. O segredo HMAC fica fora do código/banco e deve ser fornecido por secret store em HML/Produção.</w:t>
      </w:r>
    </w:p>
    <w:p>
      <w:pPr>
        <w:pStyle w:val="Heading2"/>
      </w:pPr>
      <w:r>
        <w:t>11. Ingestão e proteção de recursos</w:t>
      </w:r>
    </w:p>
    <w:p>
      <w:pPr/>
      <w:r>
        <w:t>Na ingestão, autenticação e scope genérico precedem a recepção; o ZIP é escrito em armazenamento temporário local com hash incremental apenas durante a validação inicial. A API lê somente o manifest.json para descobrir o recurso e executar autorização específica antes de descompactar/validar o conteúdo completo. Depois de validar o hash/nome, grava idempotentemente o objeto Bronze definitivo na raiz configurada e somente então persiste a referência no SQL. A objeto_chave é identificador técnico, não credencial nem URL pública. Em HML/Produção, a raiz deve ser compartilhada/durável e protegida por identidade técnica de mínimo privilégio; logs/auditoria não devem registrar caminho absoluto, bytes do payload ou segredo de acesso. O Processor recebe somente a chave relativa e lê o objeto pelas mesmas políticas de storage.</w:t>
      </w:r>
    </w:p>
    <w:p>
      <w:r>
        <w:t>12. Segurança do armazenamento Bronze</w:t>
      </w:r>
    </w:p>
    <w:p>
      <w:r>
        <w:t>O armazenamento Bronze não deve ser publicado diretamente na Internet. A API necessita criar/ler e o Processor somente ler objetos no prefixo autorizado. Em v3.37, apenas Jornada.Bronze.Maintenance.Worker recebe permissão de delete físico. A identidade usada no storage deve ser distinta do segredo funcional dos Gestores e seguir mínimo privilégio; objeto_chave/SHA-256 não é token de autorização.</w:t>
      </w:r>
    </w:p>
    <w:p>
      <w:r>
        <w:t>Integridade e disponibilidade. Objeto canônico existente é re-hasheado; divergência é incidente de infraestrutura. A API devolve 503 + Retry-After para indisponibilidade/corrupção da Bronze, sem atribuir erro ao Gestor. O Processor coloca objeto ausente/divergente em QUARENTENA e reagenda falhas temporárias de I/O.</w:t>
      </w:r>
    </w:p>
    <w:p>
      <w:r>
        <w:t>Expurgo seguro. API e Maintenance Worker coordenam cada SHA-256 por application lock Shared/Exclusive. O mantenedor confirma ausência de referências SQL antes do delete e aplica carência mínima para órfãos/temporários. Rotinas futuras de retenção devem reutilizar esse protocolo; não é permitido delete direto por API/Processor.</w:t>
      </w:r>
    </w:p>
    <w:p>
      <w:r>
        <w:t>Backup/restore. Toda objeto_chave referenciada por qualquer backup SQL ainda restaurável deve permanecer recuperável no storage. A infraestrutura deve alinhar retenção de banco/storage e testar restauração referencial; objetos extras são aceitáveis, referências sem objeto são falha de recuperação.</w:t>
      </w:r>
    </w:p>
    <w:p>
      <w:pPr>
        <w:pStyle w:val="Heading2"/>
      </w:pPr>
      <w:r>
        <w:t>Atualização v1.14 - staging e territorialização</w:t>
      </w:r>
    </w:p>
    <w:p>
      <w:r>
        <w:t>O staging da API é efêmero e configurável por IngestionStaging:RootPath; não é Bronze, não deve ser exposto publicamente e deve ter ACL/capacidade adequadas. Cleanup por idade é fallback, não retenção de evidência.</w:t>
      </w:r>
    </w:p>
    <w:p>
      <w:r>
        <w:t>A territorialização da Fase 1 é declarada pelo Gestor. A Jornada não envia PII/endereço a serviço geográfico online durante a ingestão, reduzindo dependência externa e superfície de exposição.</w:t>
      </w:r>
    </w:p>
    <w:p>
      <w:r>
        <w:t>Permissões de delete da Bronze continuam restritas ao processo de manutenção; API e Processor não necessitam delete físico do objeto canônico.</w:t>
      </w:r>
    </w:p>
    <w:p>
      <w:r>
        <w:t>A eventual habilitação da retenção de item_processado depende de política institucional aprovada e não altera Silver/Gold.</w:t>
      </w:r>
    </w:p>
    <w:p>
      <w:pPr>
        <w:pStyle w:val="Heading1"/>
      </w:pPr>
      <w:r>
        <w:t>Hardening v1.14 / v3.39</w:t>
      </w:r>
    </w:p>
    <w:p>
      <w:r>
        <w:t>Cache de contratos não altera autorização: uma nova versão vN só é utilizada quando descoberta pelo catálogo e pelo contexto autorizado. Versões já utilizadas são imutáveis no processo.</w:t>
      </w:r>
    </w:p>
    <w:p>
      <w:r>
        <w:t>Buffers da Bronze devolvidos ao ArrayPool são limpos para reduzir persistência residual de bytes de ZIP com dados pessoais dentro do processo.</w:t>
      </w:r>
    </w:p>
    <w:p>
      <w:r>
        <w:t>Auditoria continua persistida antes do término lógico do middleware; não foi introduzida fila volátil em memória. AuditPersistenceMs é somente telemetria de HML.</w:t>
      </w:r>
    </w:p>
    <w:p>
      <w:pPr>
        <w:pStyle w:val="Heading1"/>
      </w:pPr>
      <w:r>
        <w:t>13. Integridade global do CPF e correção de identidade</w:t>
      </w:r>
    </w:p>
    <w:p>
      <w:r>
        <w:t>CPF em estado EM_CONFLITO é uma condição de segurança/integridade do identificador: a associação anterior deixa de responder em CPF→UUID e nenhum novo vínculo determinístico é aceito até correção governada. O detalhe do conflito e a aplicação da correção são restritos a credencial GESTOR com scopes jornada.identidade.conflitos.read e jornada.identidade.corrigir. A Jornada não decide qual núcleo é o titular; recebe decisão institucional explícita, ato e justificativa e preserva a trilha append-only.</w:t>
      </w:r>
    </w:p>
    <w:p>
      <w:pPr>
        <w:pStyle w:val="Heading1"/>
      </w:pPr>
      <w:r>
        <w:t>14. Integridade criptográfica dos contratos</w:t>
      </w:r>
    </w:p>
    <w:p>
      <w:r>
        <w:t>Versões ATIVAS de contrato armazenam SHA-256 aprovado. API e Processor recalculam o digest dos bytes físicos e falham fechado quando ele diverge do catálogo, inclusive após restart. Isso impede que um deploy substitua silenciosamente pessoa.schema.json/registro.schema.json mantendo o mesmo número de versão. O rito de aprovação/ativação do digest continua responsabilidade de governança.</w:t>
      </w:r>
    </w:p>
    <w:p>
      <w:pPr>
        <w:pStyle w:val="Heading1"/>
      </w:pPr>
      <w:r>
        <w:t>15. BI minimizado</w:t>
      </w:r>
    </w:p>
    <w:p>
      <w:r>
        <w:t>As views de detalhe destinadas ao modelo semântico padrão não expõem pessoa_uuid. Contagens distintas de Pessoas são publicadas por views agregadas específicas. O PBIP padrão não deve receber CPF, HMAC do agente ou outros identificadores individuais; workflows de apuração/correção de identidade usam API restrita, não dashboards gerenciais.</w:t>
      </w:r>
    </w:p>
    <w:p>
      <w:pPr>
        <w:pStyle w:val="Heading1"/>
      </w:pPr>
      <w:r>
        <w:t>16. Integridade factual e retorno de divergências v3.45</w:t>
      </w:r>
    </w:p>
    <w:p>
      <w:r>
        <w:t>Divergência de identidade não autoriza a Jornada a apagar ou ocultar do agregado um fato validamente declarado. O controle de segurança incide sobre a atribuição e sobre a projeção individual: fatos sem atribuição inequívoca não aparecem na Jornada individual.</w:t>
      </w:r>
    </w:p>
    <w:p>
      <w:pPr>
        <w:pStyle w:val="ListBullet"/>
      </w:pPr>
      <w:r>
        <w:t>cpf_declarado permanece em Gold restrita e não integra o Power BI padrão, logs HTTP ou painéis gerenciais.</w:t>
      </w:r>
    </w:p>
    <w:p>
      <w:pPr>
        <w:pStyle w:val="ListBullet"/>
      </w:pPr>
      <w:r>
        <w:t>codigo_pessoa_origem é opaco; a Jornada não valida nem interpreta seu formato como CPF.</w:t>
      </w:r>
    </w:p>
    <w:p>
      <w:pPr>
        <w:pStyle w:val="ListBullet"/>
      </w:pPr>
      <w:r>
        <w:t>A fila qualidade.divergencia_gestor não expõe o conteúdo factual nem CPF/UUID na API de listagem.</w:t>
      </w:r>
    </w:p>
    <w:p>
      <w:pPr>
        <w:pStyle w:val="ListBullet"/>
      </w:pPr>
      <w:r>
        <w:t>A finalística registra o desfecho; a Jornada não autentica o agente humano nem substitui o controle interno do Gestor.</w:t>
      </w:r>
    </w:p>
    <w:p>
      <w:pPr>
        <w:pStyle w:val="Heading1"/>
      </w:pPr>
      <w:r>
        <w:t>17. Fechamento de segurança operacional v3.48</w:t>
      </w:r>
    </w:p>
    <w:p>
      <w:pPr>
        <w:pStyle w:val="ListBullet"/>
      </w:pPr>
      <w:r>
        <w:t>Forwarded Headers só é habilitado com configuração explícita. KnownProxies aceita endereços IP e KnownNetworks aceita redes CIDR IPv4/IPv6; qualquer valor inválido falha fechado no startup.</w:t>
      </w:r>
    </w:p>
    <w:p>
      <w:pPr>
        <w:pStyle w:val="ListBullet"/>
      </w:pPr>
      <w:r>
        <w:t>A retenção Bronze usa lock exclusivo por SHA compartilhado com escrita e GC, evitando corrida entre deduplicação, leitura operacional e expurgo.</w:t>
      </w:r>
    </w:p>
    <w:p>
      <w:pPr>
        <w:pStyle w:val="ListBullet"/>
      </w:pPr>
      <w:r>
        <w:t>O verificador pós-restore não confia apenas na existência do arquivo: valida tamanho e SHA-256 para cada referência ainda DISPONIVEL.</w:t>
      </w:r>
    </w:p>
    <w:p>
      <w:pPr>
        <w:pStyle w:val="ListBullet"/>
      </w:pPr>
      <w:r>
        <w:t>A política de retenção continua desabilitada por default até a governança aprovar RetentionDays; mecanismo técnico e telemetria já estão implementados.</w:t>
      </w:r>
    </w:p>
    <w:p>
      <w:pPr>
        <w:pStyle w:val="Heading1"/>
      </w:pPr>
      <w:r>
        <w:t>18. Fechamento de segurança operacional v3.49</w:t>
      </w:r>
    </w:p>
    <w:p>
      <w:r>
        <w:t>A v3.49 não modifica a fronteira de acesso. A distinção entre replay técnico e reavaliação normativa preserva auditabilidade: nenhuma mudança posterior de catálogo altera silenciosamente o resultado histórico de uma Entrega.</w:t>
      </w:r>
    </w:p>
    <w:p>
      <w:pPr>
        <w:pStyle w:val="Heading1"/>
      </w:pPr>
      <w:r>
        <w:t>19. Atualização v1.25 / v3.50</w:t>
      </w:r>
    </w:p>
    <w:p>
      <w:r>
        <w:t>A nomenclatura de acesso passa a usar “Pessoa”/“Pessoa compartilhada em âmbito municipal”, sem criação de entidade organizacional específica. A regra de autorização não muda.</w:t>
      </w:r>
    </w:p>
    <w:p>
      <w:r>
        <w:t>O Programa Reencontro coordena o projeto, mas esse papel institucional não concede acesso, scope, credencial ou capacidade operacional na Jornada. Autorizações continuam derivadas exclusivamente das credenciais técnicas e das regras vigentes.</w:t>
      </w:r>
    </w:p>
    <w:p>
      <w:r>
        <w:drawing>
          <wp:inline xmlns:a="http://schemas.openxmlformats.org/drawingml/2006/main" xmlns:pic="http://schemas.openxmlformats.org/drawingml/2006/picture">
            <wp:extent cx="6035040" cy="1217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e_Acesso_Auditoria_v1.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217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Atualização v1.25 / Solution v3.51</w:t>
      </w:r>
    </w:p>
    <w:p>
      <w:r>
        <w:t>A terminologia de controle de acesso usa Pessoa como objeto compartilhado entre credenciais autorizadas em âmbito municipal. Programa Reencontro é somente coordenação do projeto e não recebe credencial, scope ou prerrogativa operacional.</w:t>
      </w:r>
    </w:p>
    <w:p>
      <w:pPr>
        <w:pStyle w:val="Heading1"/>
      </w:pPr>
      <w:r>
        <w:t>Atualização v1.26 / Solution v3.52</w:t>
      </w:r>
    </w:p>
    <w:p>
      <w:r>
        <w:t>O Serviço de Divergências da Fase 1 é somente fila de DIVERGENCIA_IDENTIDADE e registro de desfecho. Comparação cadastral assistida, tipologia óbito e notificações externas permanecem Fase 2. A consulta da Pessoa passa a expor metadados de corroboração no envelope, sem alterar o schema cadastral nem criar nova permissão.</w:t>
      </w:r>
    </w:p>
    <w:p>
      <w:pPr>
        <w:pStyle w:val="Heading1"/>
      </w:pPr>
      <w:r>
        <w:t>Atualização v1.27 / Solution v3.53</w:t>
      </w:r>
    </w:p>
    <w:p>
      <w:r>
        <w:t>O watchdog operacional é deliberadamente somente observacional e não possui permissão lógica para liberar application locks, encerrar sessões, corrigir estados ou disparar jobs. Alertas estruturados devem ser encaminhados ao stack corporativo de logs/monitoramento sem incluir CPF, payload ou segredo.</w:t>
      </w:r>
    </w:p>
    <w:p>
      <w:r>
        <w:t>O scheduler é infraestrutura corporativa externa à Solution. Cada job deve usar identidade técnica/secret store apropriados e registrar evidência operacional sem introduzir credencial real no repositório.</w:t>
      </w:r>
    </w:p>
    <w:p>
      <w:pPr>
        <w:pStyle w:val="Heading1"/>
      </w:pPr>
      <w:r>
        <w:t>Atualização v1.28 / Solution v3.54</w:t>
      </w:r>
    </w:p>
    <w:p>
      <w:pPr/>
      <w:r>
        <w:t>O ambiente Docker local usa SQL Server Developer e massa sintética. `.env`, credenciais SQL locais, localSettings do Power BI e qualquer segredo de HML/Produção são excluídos do Git. `.env.example` não contém segredo institucional.</w:t>
      </w:r>
    </w:p>
    <w:p>
      <w:pPr/>
      <w:r>
        <w:t>Git é a trilha de alteração dos fontes; release exige commit/tag identificável e árvore rastreada limpa. RELEASE_INFO.txt registra a origem do pacote sem armazenar credenciais. O container Developer é explicitamente proibido como configuração de Produção.</w:t>
      </w:r>
    </w:p>
    <w:p>
      <w:pPr>
        <w:pStyle w:val="Heading1"/>
      </w:pPr>
      <w:r>
        <w:t>Atualização v1.30 / Solution v3.55</w:t>
      </w:r>
    </w:p>
    <w:p>
      <w:pPr/>
      <w:r>
        <w:t>Os harnesses v3.55 usam exclusivamente massa sintética e credenciais locais de Development. Fault injection com KILL é permitido somente em banco cujo nome indique Test/Dev e não constitui mecanismo operacional de Produção.</w:t>
      </w:r>
    </w:p>
    <w:p>
      <w:pPr/>
      <w:r>
        <w:t>Backups, relatórios de performance e resultados TRX locais ficam sob Solution/.local e são excluídos do Git. Nenhum segredo de HML/Produção, backup real ou dado pessoal deve ser usado nos ensaios locais.</w:t>
      </w:r>
    </w:p>
    <w:p>
      <w:pPr>
        <w:pStyle w:val="Heading2"/>
      </w:pPr>
      <w:r>
        <w:t>Atualização v1.31 — sigilo localizado no dado, não na Pessoa</w:t>
      </w:r>
    </w:p>
    <w:p>
      <w:r>
        <w:t>Não existe marcador geral PROTECAO_ESPECIAL na Pessoa. A proteção da casa-abrigo é localizada no atributo ENDERECO_CASA_ABRIGO_SIGILOSA.</w:t>
      </w:r>
    </w:p>
    <w:p>
      <w:r>
        <w:t>Somente o próprio Tipo de Serviço de casa-abrigo explicitamente habilitado pode originar o atributo. A plataforma não deduz sigilo pelo Gestor, pela existência de acolhimento ou pelo local de atendimento.</w:t>
      </w:r>
    </w:p>
    <w:p>
      <w:r>
        <w:t>O endereço sigiloso não é projetado para outro Gestor. O bloqueio é estrutural e precede as exceções negativas configuráveis. Os demais dados da Pessoa mantêm o compartilhamento municipal autorizado.</w:t>
      </w:r>
    </w:p>
    <w:p>
      <w:pPr>
        <w:pStyle w:val="Heading2"/>
      </w:pPr>
      <w:r>
        <w:t>Atualização v1.32 / normativa v3.58</w:t>
      </w:r>
    </w:p>
    <w:p>
      <w:r>
        <w:t>Não enumeração de atributos suprimidos: a ausência de um atributo na resposta não permite concluir que ele inexiste na origem ou na Gold. A borda não devolve marcador RESTRITO/PROTEGIDO para campos retirados pelo schema ou pela regra de projeção, evitando revelar a própria existência de dado sensível.</w:t>
      </w:r>
    </w:p>
    <w:p>
      <w:r>
        <w:t>Continuidade de UUID após FUSAO_HISTORICA: auditoria registra UUID solicitado e canônico quando houver redirecionamento; a Pessoa absorvida permanece FUNDIDO com sucessor explícito. A migração de identificadores gera eventos de estado, e CPF ativo divergente impede fusão automática.</w:t>
      </w:r>
    </w:p>
    <w:p>
      <w:pPr>
        <w:pStyle w:val="Heading2"/>
      </w:pPr>
      <w:r>
        <w:t>Atualização v1.33 / normativa v3.59</w:t>
      </w:r>
    </w:p>
    <w:p>
      <w:pPr/>
      <w:r>
        <w:t>A v3.59 não amplia a fronteira de acesso. O erro 51119 é proteção de integridade da operação governada de identidade e TELEFONE_BR_CANONICO_V2 é normalização de chave de instância; regras de autorização, projeção, não enumeração e sigilo de casa-abrigo-sigilosa permanecem inalteradas.</w:t>
      </w:r>
    </w:p>
    <w:p>
      <w:pPr>
        <w:pStyle w:val="Heading2"/>
      </w:pPr>
      <w:r>
        <w:t>Atualização v1.34 / normativa v3.60</w:t>
      </w:r>
    </w:p>
    <w:p>
      <w:r>
        <w:t>A v3.60 não amplia acesso nem superfície de dados. As validações 51117/51118/51119 são controles de integridade do ato governado e ocorrem antes das mutações da aplicação, reduzindo risco de estado parcial em execução administrativa direta.</w:t>
      </w:r>
    </w:p>
    <w:p>
      <w:r>
        <w:t>A reconciliação TELEFONE_BR_CANONICO_V2 usa o valor original apenas para derivar a chave lógica de contato durante o upgrade. Valor legado incompatível interrompe o upgrade; a mudança não relaxa autorização, projeção, não enumeração ou sigilo.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de Segurança, Auditoria e Acesso Jornada v1.29</dc:title>
  <dc:subject>Jornada do Cidadão — Fase 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1.17</cp:version>
</cp:coreProperties>
</file>