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  <w:spacing w:before="840"/>
        <w:jc w:val="left"/>
      </w:pPr>
      <w:r>
        <w:t>PREFEITURA DE SÃO PAULO • SGM/SPE</w:t>
      </w:r>
    </w:p>
    <w:p>
      <w:pPr>
        <w:spacing w:before="240" w:after="40"/>
      </w:pPr>
      <w:r>
        <w:rPr>
          <w:rFonts w:ascii="Arial" w:hAnsi="Arial"/>
          <w:b/>
          <w:color w:val="17365D"/>
          <w:sz w:val="60"/>
        </w:rPr>
        <w:t>Jornada do Cidadão</w:t>
      </w:r>
    </w:p>
    <w:p>
      <w:pPr>
        <w:spacing w:after="80"/>
      </w:pPr>
      <w:r>
        <w:rPr>
          <w:rFonts w:ascii="Arial" w:hAnsi="Arial"/>
          <w:b/>
          <w:color w:val="2F5597"/>
          <w:sz w:val="40"/>
        </w:rPr>
        <w:t>Resumo Executivo da Especificação Técnica</w:t>
      </w:r>
    </w:p>
    <w:p>
      <w:pPr>
        <w:spacing w:after="360"/>
      </w:pPr>
      <w:r>
        <w:rPr>
          <w:rFonts w:ascii="Arial" w:hAnsi="Arial"/>
          <w:i/>
          <w:color w:val="C9A227"/>
          <w:sz w:val="23"/>
        </w:rPr>
        <w:t>Síntese gerencial da arquitetura, escopo, governança e implantação da Fase 1</w:t>
      </w:r>
    </w:p>
    <w:p>
      <w:pPr>
        <w:pBdr>
          <w:bottom w:val="single" w:sz="18" w:space="4" w:color="C9A227"/>
        </w:pBdr>
        <w:spacing w:after="3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6746"/>
      </w:tblGrid>
      <w:tr>
        <w:tc>
          <w:tcPr>
            <w:tcW w:type="dxa" w:w="4762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Documento</w:t>
            </w:r>
          </w:p>
        </w:tc>
        <w:tc>
          <w:tcPr>
            <w:tcW w:type="dxa" w:w="476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Resumo Executivo — versão 1.1</w:t>
            </w:r>
          </w:p>
        </w:tc>
      </w:tr>
      <w:tr>
        <w:tc>
          <w:tcPr>
            <w:tcW w:type="dxa" w:w="4762"/>
            <w:shd w:fill="EEF3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Base normativa</w:t>
            </w:r>
          </w:p>
        </w:tc>
        <w:tc>
          <w:tcPr>
            <w:tcW w:type="dxa" w:w="4762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2" w:lineRule="auto"/>
            </w:pPr>
            <w:r>
              <w:rPr>
                <w:rFonts w:ascii="Arial" w:hAnsi="Arial"/>
                <w:color w:val="222222"/>
                <w:sz w:val="17"/>
              </w:rPr>
              <w:t>Especificação Técnica Jornada v3.56 e anexos técnicos vigentes</w:t>
            </w:r>
          </w:p>
        </w:tc>
      </w:tr>
      <w:tr>
        <w:tc>
          <w:tcPr>
            <w:tcW w:type="dxa" w:w="4762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Área requisitante</w:t>
            </w:r>
          </w:p>
        </w:tc>
        <w:tc>
          <w:tcPr>
            <w:tcW w:type="dxa" w:w="476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2" w:lineRule="auto"/>
            </w:pPr>
            <w:r>
              <w:rPr>
                <w:rFonts w:ascii="Arial" w:hAnsi="Arial"/>
                <w:color w:val="222222"/>
                <w:sz w:val="17"/>
              </w:rPr>
              <w:t>SGM/SPE</w:t>
            </w:r>
          </w:p>
        </w:tc>
      </w:tr>
      <w:tr>
        <w:tc>
          <w:tcPr>
            <w:tcW w:type="dxa" w:w="4762"/>
            <w:shd w:fill="EEF3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Coordenação do projeto</w:t>
            </w:r>
          </w:p>
        </w:tc>
        <w:tc>
          <w:tcPr>
            <w:tcW w:type="dxa" w:w="4762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2" w:lineRule="auto"/>
            </w:pPr>
            <w:r>
              <w:rPr>
                <w:rFonts w:ascii="Arial" w:hAnsi="Arial"/>
                <w:color w:val="222222"/>
                <w:sz w:val="17"/>
              </w:rPr>
              <w:t>Programa Reencontro — articulação institucional, sem papel operacional na Jornada</w:t>
            </w:r>
          </w:p>
        </w:tc>
      </w:tr>
      <w:tr>
        <w:tc>
          <w:tcPr>
            <w:tcW w:type="dxa" w:w="4762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Implementação e operação</w:t>
            </w:r>
          </w:p>
        </w:tc>
        <w:tc>
          <w:tcPr>
            <w:tcW w:type="dxa" w:w="476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2" w:lineRule="auto"/>
            </w:pPr>
            <w:r>
              <w:rPr>
                <w:rFonts w:ascii="Arial" w:hAnsi="Arial"/>
                <w:color w:val="222222"/>
                <w:sz w:val="17"/>
              </w:rPr>
              <w:t>PRODAM-SP</w:t>
            </w:r>
          </w:p>
        </w:tc>
      </w:tr>
      <w:tr>
        <w:tc>
          <w:tcPr>
            <w:tcW w:type="dxa" w:w="4762"/>
            <w:shd w:fill="EEF3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Escopo temporal</w:t>
            </w:r>
          </w:p>
        </w:tc>
        <w:tc>
          <w:tcPr>
            <w:tcW w:type="dxa" w:w="4762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2" w:lineRule="auto"/>
            </w:pPr>
            <w:r>
              <w:rPr>
                <w:rFonts w:ascii="Arial" w:hAnsi="Arial"/>
                <w:color w:val="222222"/>
                <w:sz w:val="17"/>
              </w:rPr>
              <w:t>Fase 1 — desenvolvimento e homologação HML em seis meses, com frentes paralelas</w:t>
            </w:r>
          </w:p>
        </w:tc>
      </w:tr>
      <w:tr>
        <w:tc>
          <w:tcPr>
            <w:tcW w:type="dxa" w:w="4762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Data</w:t>
            </w:r>
          </w:p>
        </w:tc>
        <w:tc>
          <w:tcPr>
            <w:tcW w:type="dxa" w:w="476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2" w:lineRule="auto"/>
            </w:pPr>
            <w:r>
              <w:rPr>
                <w:rFonts w:ascii="Arial" w:hAnsi="Arial"/>
                <w:color w:val="222222"/>
                <w:sz w:val="17"/>
              </w:rPr>
              <w:t>31/08/2026</w:t>
            </w:r>
          </w:p>
        </w:tc>
      </w:tr>
    </w:tbl>
    <w:p>
      <w:pPr>
        <w:spacing w:before="360" w:after="0"/>
      </w:pPr>
      <w:r>
        <w:rPr>
          <w:rFonts w:ascii="Arial" w:hAnsi="Arial"/>
          <w:b/>
          <w:color w:val="17365D"/>
          <w:sz w:val="19"/>
        </w:rPr>
        <w:t>Natureza deste documento</w:t>
      </w:r>
    </w:p>
    <w:p>
      <w:pPr>
        <w:spacing w:after="0"/>
      </w:pPr>
      <w:r>
        <w:rPr>
          <w:rFonts w:ascii="Arial" w:hAnsi="Arial"/>
          <w:color w:val="666666"/>
          <w:sz w:val="17"/>
        </w:rPr>
        <w:t>Este resumo é auxiliar e não normativo. Em caso de divergência, prevalecem a Especificação Técnica v3.56 e seus anexos versionados.</w:t>
      </w:r>
    </w:p>
    <w:p>
      <w:r>
        <w:br w:type="page"/>
      </w:r>
    </w:p>
    <w:p>
      <w:pPr>
        <w:pStyle w:val="Heading1"/>
        <w:spacing w:before="200" w:after="120"/>
        <w:pBdr>
          <w:bottom w:val="single" w:sz="10" w:space="4" w:color="C9A227"/>
        </w:pBdr>
      </w:pPr>
      <w:r>
        <w:t>1. Visão executiva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524"/>
            <w:shd w:fill="F5EFD8"/>
            <w:tcMar>
              <w:top w:w="16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17365D"/>
                <w:sz w:val="20"/>
              </w:rPr>
              <w:t>Em uma frase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222222"/>
                <w:sz w:val="18"/>
              </w:rPr>
              <w:t>A Jornada é uma plataforma municipal de integração que consolida Pessoas, Benefícios Concedidos e Serviços Prestados sem substituir os sistemas finalísticos, oferecendo identidade canônica, histórico factual, qualidade, interoperabilidade e BI sobre uma arquitetura auditável e evolutiva.</w:t>
            </w:r>
          </w:p>
        </w:tc>
      </w:tr>
    </w:tbl>
    <w:p>
      <w:pPr>
        <w:spacing w:after="80" w:before="140" w:line="259" w:lineRule="auto"/>
      </w:pPr>
      <w:r>
        <w:t>A Fase 1 cria uma camada sobrejacente aos sistemas das Secretarias. Cada Gestor continua responsável por seu cadastro, por seus fatos e por suas decisões administrativas. A Jornada recebe dados padronizados, preserva a origem, resolve identidade, consolida uma visão municipal da Pessoa, materializa os fatos em Gold/Serving e disponibiliza consultas e indicadores a consumidores autorizados.</w:t>
      </w:r>
    </w:p>
    <w:p>
      <w:pPr>
        <w:pStyle w:val="Heading2"/>
        <w:spacing w:after="60" w:before="120" w:line="259" w:lineRule="auto"/>
      </w:pPr>
      <w:r>
        <w:t>Decisões estruturantes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Pessoa é compartilhada em âmbito municipal entre credenciais autorizadas; não existe fronteira populacional por Secretaria, Gestor ou Tipo.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Benefício Concedido e Serviço Prestado são fatos administrativos, não atributos cadastrais da Pessoa.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A existência do fato é independente da atribuição canônica da identidade: conflito de identidade não apaga nem impede a contabilização factual válida.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Correções cadastrais permanecem nos sistemas de origem e retornam pela ingestão; a Jornada não se torna um cadastro transacional paralelo.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Restrições de projeção são exceções negativas sob governança do responsável pelo dado; a regra geral é o compartilhamento municipal autorizado.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A Fase 1 entrega HML e referência técnica; Produção, RPO/RTO definitivos e decisões institucionais remanescentes são gates externos.</w:t>
      </w:r>
    </w:p>
    <w:p>
      <w:pPr>
        <w:pStyle w:val="Heading2"/>
        <w:spacing w:after="60" w:before="140" w:line="259" w:lineRule="auto"/>
      </w:pPr>
      <w:r>
        <w:t>Papéis institucionais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860"/>
      </w:tblGrid>
      <w:tr>
        <w:tc>
          <w:tcPr>
            <w:tcW w:type="dxa" w:w="4762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SGM/SPE</w:t>
            </w:r>
          </w:p>
        </w:tc>
        <w:tc>
          <w:tcPr>
            <w:tcW w:type="dxa" w:w="476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2" w:lineRule="auto"/>
            </w:pPr>
            <w:r>
              <w:rPr>
                <w:rFonts w:ascii="Arial" w:hAnsi="Arial"/>
                <w:color w:val="222222"/>
                <w:sz w:val="17"/>
              </w:rPr>
              <w:t>Área requisitante; gestão contratual e governança institucional da plataforma.</w:t>
            </w:r>
          </w:p>
        </w:tc>
      </w:tr>
      <w:tr>
        <w:tc>
          <w:tcPr>
            <w:tcW w:type="dxa" w:w="4762"/>
            <w:shd w:fill="EEF3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Programa Reencontro</w:t>
            </w:r>
          </w:p>
        </w:tc>
        <w:tc>
          <w:tcPr>
            <w:tcW w:type="dxa" w:w="4762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2" w:lineRule="auto"/>
            </w:pPr>
            <w:r>
              <w:rPr>
                <w:rFonts w:ascii="Arial" w:hAnsi="Arial"/>
                <w:color w:val="222222"/>
                <w:sz w:val="17"/>
              </w:rPr>
              <w:t>Coordenação do projeto e articulação institucional; sem papel operacional, sem administração de credenciais e sem responsabilidade pelos dados finalísticos.</w:t>
            </w:r>
          </w:p>
        </w:tc>
      </w:tr>
      <w:tr>
        <w:tc>
          <w:tcPr>
            <w:tcW w:type="dxa" w:w="4762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PRODAM-SP</w:t>
            </w:r>
          </w:p>
        </w:tc>
        <w:tc>
          <w:tcPr>
            <w:tcW w:type="dxa" w:w="476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2" w:lineRule="auto"/>
            </w:pPr>
            <w:r>
              <w:rPr>
                <w:rFonts w:ascii="Arial" w:hAnsi="Arial"/>
                <w:color w:val="222222"/>
                <w:sz w:val="17"/>
              </w:rPr>
              <w:t>Implementa e opera a plataforma; operador de dados na acepção da LGPD.</w:t>
            </w:r>
          </w:p>
        </w:tc>
      </w:tr>
      <w:tr>
        <w:tc>
          <w:tcPr>
            <w:tcW w:type="dxa" w:w="4762"/>
            <w:shd w:fill="EEF3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Gestores finalísticos</w:t>
            </w:r>
          </w:p>
        </w:tc>
        <w:tc>
          <w:tcPr>
            <w:tcW w:type="dxa" w:w="4762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2" w:lineRule="auto"/>
            </w:pPr>
            <w:r>
              <w:rPr>
                <w:rFonts w:ascii="Arial" w:hAnsi="Arial"/>
                <w:color w:val="222222"/>
                <w:sz w:val="17"/>
              </w:rPr>
              <w:t>SMADS, SEHAB, SMDET, SME, SMT, SMS e SMDHC; controlam os dados que cedem e decidem sobre seus fatos e providências.</w:t>
            </w:r>
          </w:p>
        </w:tc>
      </w:tr>
      <w:tr>
        <w:tc>
          <w:tcPr>
            <w:tcW w:type="dxa" w:w="4762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Governança / controle</w:t>
            </w:r>
          </w:p>
        </w:tc>
        <w:tc>
          <w:tcPr>
            <w:tcW w:type="dxa" w:w="476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2" w:lineRule="auto"/>
            </w:pPr>
            <w:r>
              <w:rPr>
                <w:rFonts w:ascii="Arial" w:hAnsi="Arial"/>
                <w:color w:val="222222"/>
                <w:sz w:val="17"/>
              </w:rPr>
              <w:t>Encarregado municipal, Procuradoria e Controladoria atuam em conformidade, instrumentos jurídicos e auditoria.</w:t>
            </w:r>
          </w:p>
        </w:tc>
      </w:tr>
    </w:tbl>
    <w:p>
      <w:r>
        <w:br w:type="page"/>
      </w:r>
    </w:p>
    <w:p>
      <w:pPr>
        <w:pStyle w:val="Heading1"/>
        <w:spacing w:before="200" w:after="120"/>
        <w:pBdr>
          <w:bottom w:val="single" w:sz="10" w:space="4" w:color="C9A227"/>
        </w:pBdr>
      </w:pPr>
      <w:r>
        <w:t>2. Escopo da Fase 1</w:t>
      </w:r>
    </w:p>
    <w:p>
      <w:pPr>
        <w:pStyle w:val="Heading2"/>
        <w:spacing w:after="60" w:before="0" w:line="259" w:lineRule="auto"/>
      </w:pPr>
      <w:r>
        <w:t>O que a Jornada entrega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Ingestão padronizada de Pessoas, Benefícios Concedidos e Serviços Prestados em envelope único, inclusive períodos sem fato e atualizações exclusivamente cadastrais.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Resolução de identidade, PESSOA_UUID estável, mapa de identidade e tratamento governado de conflitos.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Arquitetura Medallion: Bronze imutável, Prata de normalização/qualidade/identidade, Gold Pessoas, Gold Registros e Serving.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APIs REST para resolução, ingestão, status e consultas autorizadas de Pessoa, Registros, Benefícios, Serviços e Possibilidades.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Referência Territorial da Pessoa com snapshot histórico de Distrito/Subprefeitura fornecido pelo Gestor de origem.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Quality Control Plane, auditoria, métricas operacionais e indicadores de qualidade.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Microsoft Power BI sobre views Serving estáveis, com PBIP/PBIR/TMDL versionados em Git.</w:t>
      </w:r>
    </w:p>
    <w:p>
      <w:pPr>
        <w:pStyle w:val="Heading2"/>
        <w:spacing w:after="60" w:before="120" w:line="259" w:lineRule="auto"/>
      </w:pPr>
      <w:r>
        <w:t>O que a Jornada não faz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3061"/>
        <w:gridCol w:w="3288"/>
      </w:tblGrid>
      <w:tr>
        <w:trPr>
          <w:tblHeader w:val="true"/>
        </w:trPr>
        <w:tc>
          <w:tcPr>
            <w:tcW w:type="dxa" w:w="317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Não substitui</w:t>
            </w:r>
          </w:p>
        </w:tc>
        <w:tc>
          <w:tcPr>
            <w:tcW w:type="dxa" w:w="317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Não decide</w:t>
            </w:r>
          </w:p>
        </w:tc>
        <w:tc>
          <w:tcPr>
            <w:tcW w:type="dxa" w:w="317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Não centraliza indevidamente</w:t>
            </w:r>
          </w:p>
        </w:tc>
      </w:tr>
      <w:tr>
        <w:tc>
          <w:tcPr>
            <w:tcW w:type="dxa" w:w="317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b/>
                <w:color w:val="17365D"/>
                <w:sz w:val="16"/>
              </w:rPr>
              <w:t>Sistemas finalísticos</w:t>
            </w:r>
          </w:p>
        </w:tc>
        <w:tc>
          <w:tcPr>
            <w:tcW w:type="dxa" w:w="317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color w:val="222222"/>
                <w:sz w:val="16"/>
              </w:rPr>
              <w:t>Concessão, suspensão, cancelamento ou pagamento de Benefícios</w:t>
            </w:r>
          </w:p>
        </w:tc>
        <w:tc>
          <w:tcPr>
            <w:tcW w:type="dxa" w:w="317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color w:val="222222"/>
                <w:sz w:val="16"/>
              </w:rPr>
              <w:t>Edição direta do cadastro transacional dos Gestores</w:t>
            </w:r>
          </w:p>
        </w:tc>
      </w:tr>
      <w:tr>
        <w:tc>
          <w:tcPr>
            <w:tcW w:type="dxa" w:w="3175"/>
            <w:shd w:fill="F7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b/>
                <w:color w:val="17365D"/>
                <w:sz w:val="16"/>
              </w:rPr>
              <w:t>Processos setoriais</w:t>
            </w:r>
          </w:p>
        </w:tc>
        <w:tc>
          <w:tcPr>
            <w:tcW w:type="dxa" w:w="3175"/>
            <w:shd w:fill="F7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color w:val="222222"/>
                <w:sz w:val="16"/>
              </w:rPr>
              <w:t>Decisão administrativa baseada apenas em Possibilidade</w:t>
            </w:r>
          </w:p>
        </w:tc>
        <w:tc>
          <w:tcPr>
            <w:tcW w:type="dxa" w:w="3175"/>
            <w:shd w:fill="F7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color w:val="222222"/>
                <w:sz w:val="16"/>
              </w:rPr>
              <w:t>Meios de pagamento e execução financeira</w:t>
            </w:r>
          </w:p>
        </w:tc>
      </w:tr>
      <w:tr>
        <w:tc>
          <w:tcPr>
            <w:tcW w:type="dxa" w:w="317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b/>
                <w:color w:val="17365D"/>
                <w:sz w:val="16"/>
              </w:rPr>
              <w:t>Atendimento municipal</w:t>
            </w:r>
          </w:p>
        </w:tc>
        <w:tc>
          <w:tcPr>
            <w:tcW w:type="dxa" w:w="317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color w:val="222222"/>
                <w:sz w:val="16"/>
              </w:rPr>
              <w:t>Atendimento direto ao munícipe pela SGM/SPE</w:t>
            </w:r>
          </w:p>
        </w:tc>
        <w:tc>
          <w:tcPr>
            <w:tcW w:type="dxa" w:w="317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color w:val="222222"/>
                <w:sz w:val="16"/>
              </w:rPr>
              <w:t>Emissão/custódia de documentos civis</w:t>
            </w:r>
          </w:p>
        </w:tc>
      </w:tr>
      <w:tr>
        <w:tc>
          <w:tcPr>
            <w:tcW w:type="dxa" w:w="3175"/>
            <w:shd w:fill="F7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b/>
                <w:color w:val="17365D"/>
                <w:sz w:val="16"/>
              </w:rPr>
              <w:t>Infraestrutura corporativa</w:t>
            </w:r>
          </w:p>
        </w:tc>
        <w:tc>
          <w:tcPr>
            <w:tcW w:type="dxa" w:w="3175"/>
            <w:shd w:fill="F7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color w:val="222222"/>
                <w:sz w:val="16"/>
              </w:rPr>
              <w:t>Produção definitiva dentro dos seis meses</w:t>
            </w:r>
          </w:p>
        </w:tc>
        <w:tc>
          <w:tcPr>
            <w:tcW w:type="dxa" w:w="3175"/>
            <w:shd w:fill="F7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color w:val="222222"/>
                <w:sz w:val="16"/>
              </w:rPr>
              <w:t>Scheduler, Gateway, IdP/secret store e políticas corporativas fora da Solution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524"/>
            <w:shd w:fill="EEF3F8"/>
            <w:tcMar>
              <w:top w:w="16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2F5597"/>
                <w:sz w:val="20"/>
              </w:rPr>
              <w:t>Princípio de implantação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222222"/>
                <w:sz w:val="18"/>
              </w:rPr>
              <w:t>A Fase 1 não exige uma “base-verdade” externa para começar. A primeira fonte que individualize uma Pessoa pode constituir o baseline inicial da Gold; corroboração surge quando outras fontes independentes passam a confirmar ou divergir dessa representação.</w:t>
            </w:r>
          </w:p>
        </w:tc>
      </w:tr>
    </w:tbl>
    <w:p>
      <w:r>
        <w:br w:type="page"/>
      </w:r>
    </w:p>
    <w:p>
      <w:pPr>
        <w:pStyle w:val="Heading1"/>
        <w:spacing w:before="200" w:after="120"/>
        <w:pBdr>
          <w:bottom w:val="single" w:sz="10" w:space="4" w:color="C9A227"/>
        </w:pBdr>
      </w:pPr>
      <w:r>
        <w:t>3. Arquitetura e fluxo de dados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524"/>
            <w:shd w:fill="17365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9"/>
              </w:rPr>
              <w:t>CAMADA 1 — Sistemas dos Gestores</w:t>
            </w:r>
          </w:p>
          <w:p>
            <w:pPr>
              <w:spacing w:after="0"/>
            </w:pPr>
            <w:r>
              <w:rPr>
                <w:rFonts w:ascii="Arial" w:hAnsi="Arial"/>
                <w:color w:val="FFFFFF"/>
                <w:sz w:val="17"/>
              </w:rPr>
              <w:t>Cadastros, Benefícios Concedidos e Serviços Prestados permanecem sob domínio setorial.</w:t>
            </w:r>
          </w:p>
        </w:tc>
      </w:tr>
      <w:tr>
        <w:tc>
          <w:tcPr>
            <w:tcW w:type="dxa" w:w="9524"/>
            <w:shd w:fill="EEF3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7365D"/>
                <w:sz w:val="19"/>
              </w:rPr>
              <w:t>CAMADA 2 — Bronze</w:t>
            </w:r>
          </w:p>
          <w:p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Entrega ZIP externa imutável; bytes em storage externo e metadados/lineage em SQL Server.</w:t>
            </w:r>
          </w:p>
        </w:tc>
      </w:tr>
      <w:tr>
        <w:tc>
          <w:tcPr>
            <w:tcW w:type="dxa" w:w="9524"/>
            <w:shd w:fill="DCE6F1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7365D"/>
                <w:sz w:val="19"/>
              </w:rPr>
              <w:t>CAMADA 2 — Prata</w:t>
            </w:r>
          </w:p>
          <w:p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Normalização, qualidade, identidade, conferências documentais e estados de resolução.</w:t>
            </w:r>
          </w:p>
        </w:tc>
      </w:tr>
      <w:tr>
        <w:tc>
          <w:tcPr>
            <w:tcW w:type="dxa" w:w="9524"/>
            <w:shd w:fill="EEF3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7365D"/>
                <w:sz w:val="19"/>
              </w:rPr>
              <w:t>CAMADA 2 — Ouro</w:t>
            </w:r>
          </w:p>
          <w:p>
            <w:pPr>
              <w:spacing w:after="0"/>
            </w:pPr>
            <w:r>
              <w:rPr>
                <w:rFonts w:ascii="Arial" w:hAnsi="Arial"/>
                <w:color w:val="222222"/>
                <w:sz w:val="17"/>
              </w:rPr>
              <w:t>Gold Pessoas + Gold Registros, preservando a distinção entre cadastro transversal e fatos administrativos.</w:t>
            </w:r>
          </w:p>
        </w:tc>
      </w:tr>
      <w:tr>
        <w:tc>
          <w:tcPr>
            <w:tcW w:type="dxa" w:w="9524"/>
            <w:shd w:fill="17365D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9"/>
              </w:rPr>
              <w:t>CAMADAS DE CONSUMO</w:t>
            </w:r>
          </w:p>
          <w:p>
            <w:pPr>
              <w:spacing w:after="0"/>
            </w:pPr>
            <w:r>
              <w:rPr>
                <w:rFonts w:ascii="Arial" w:hAnsi="Arial"/>
                <w:color w:val="FFFFFF"/>
                <w:sz w:val="17"/>
              </w:rPr>
              <w:t>Serving, APIs autorizadas, Possibilidades e Microsoft Power BI.</w:t>
            </w:r>
          </w:p>
        </w:tc>
      </w:tr>
    </w:tbl>
    <w:p>
      <w:pPr>
        <w:pStyle w:val="Heading2"/>
        <w:spacing w:after="60" w:before="140" w:line="259" w:lineRule="auto"/>
      </w:pPr>
      <w:r>
        <w:t>Componentes principais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406"/>
      </w:tblGrid>
      <w:tr>
        <w:tc>
          <w:tcPr>
            <w:tcW w:type="dxa" w:w="4762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Jornada.Api</w:t>
            </w:r>
          </w:p>
        </w:tc>
        <w:tc>
          <w:tcPr>
            <w:tcW w:type="dxa" w:w="476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2" w:lineRule="auto"/>
            </w:pPr>
            <w:r>
              <w:rPr>
                <w:rFonts w:ascii="Arial" w:hAnsi="Arial"/>
                <w:color w:val="222222"/>
                <w:sz w:val="17"/>
              </w:rPr>
              <w:t>Ponto oficial de integração externa: autenticação/autorização, resolução CPF→UUID, ingestão, status e consultas.</w:t>
            </w:r>
          </w:p>
        </w:tc>
      </w:tr>
      <w:tr>
        <w:tc>
          <w:tcPr>
            <w:tcW w:type="dxa" w:w="4762"/>
            <w:shd w:fill="EEF3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Processor.Worker</w:t>
            </w:r>
          </w:p>
        </w:tc>
        <w:tc>
          <w:tcPr>
            <w:tcW w:type="dxa" w:w="4762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2" w:lineRule="auto"/>
            </w:pPr>
            <w:r>
              <w:rPr>
                <w:rFonts w:ascii="Arial" w:hAnsi="Arial"/>
                <w:color w:val="222222"/>
                <w:sz w:val="17"/>
              </w:rPr>
              <w:t>Processa Bronze→Prata→Gold/Serving; executa validação, qualidade, identidade determinística, QC, territorialização declarada e Possibilidades.</w:t>
            </w:r>
          </w:p>
        </w:tc>
      </w:tr>
      <w:tr>
        <w:tc>
          <w:tcPr>
            <w:tcW w:type="dxa" w:w="4762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Linkage.Parameters.Worker</w:t>
            </w:r>
          </w:p>
        </w:tc>
        <w:tc>
          <w:tcPr>
            <w:tcW w:type="dxa" w:w="476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2" w:lineRule="auto"/>
            </w:pPr>
            <w:r>
              <w:rPr>
                <w:rFonts w:ascii="Arial" w:hAnsi="Arial"/>
                <w:color w:val="222222"/>
                <w:sz w:val="17"/>
              </w:rPr>
              <w:t>Gera e versiona parâmetros probabilísticos m/u/prior/T_LINKAGE a partir do corpus Gold sob gate serial.</w:t>
            </w:r>
          </w:p>
        </w:tc>
      </w:tr>
      <w:tr>
        <w:tc>
          <w:tcPr>
            <w:tcW w:type="dxa" w:w="4762"/>
            <w:shd w:fill="EEF3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Linkage.Runner</w:t>
            </w:r>
          </w:p>
        </w:tc>
        <w:tc>
          <w:tcPr>
            <w:tcW w:type="dxa" w:w="4762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2" w:lineRule="auto"/>
            </w:pPr>
            <w:r>
              <w:rPr>
                <w:rFonts w:ascii="Arial" w:hAnsi="Arial"/>
                <w:color w:val="222222"/>
                <w:sz w:val="17"/>
              </w:rPr>
              <w:t>Executa linkage probabilístico em registros elegíveis sem CPF, com modelo congelado por run e publicação logicamente atômica.</w:t>
            </w:r>
          </w:p>
        </w:tc>
      </w:tr>
      <w:tr>
        <w:tc>
          <w:tcPr>
            <w:tcW w:type="dxa" w:w="4762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Operations.Maintenance.Worker</w:t>
            </w:r>
          </w:p>
        </w:tc>
        <w:tc>
          <w:tcPr>
            <w:tcW w:type="dxa" w:w="476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2" w:lineRule="auto"/>
            </w:pPr>
            <w:r>
              <w:rPr>
                <w:rFonts w:ascii="Arial" w:hAnsi="Arial"/>
                <w:color w:val="222222"/>
                <w:sz w:val="17"/>
              </w:rPr>
              <w:t>Manutenção e watchdog observacional; detecta estados operacionais estagnados sem tomar decisão automática.</w:t>
            </w:r>
          </w:p>
        </w:tc>
      </w:tr>
      <w:tr>
        <w:tc>
          <w:tcPr>
            <w:tcW w:type="dxa" w:w="4762"/>
            <w:shd w:fill="EEF3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Power BI</w:t>
            </w:r>
          </w:p>
        </w:tc>
        <w:tc>
          <w:tcPr>
            <w:tcW w:type="dxa" w:w="4762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2" w:lineRule="auto"/>
            </w:pPr>
            <w:r>
              <w:rPr>
                <w:rFonts w:ascii="Arial" w:hAnsi="Arial"/>
                <w:color w:val="222222"/>
                <w:sz w:val="17"/>
              </w:rPr>
              <w:t>Consome views serving.v_bi_* e mantém modelo semântico e relatório em PBIP/PBIR/TMDL.</w:t>
            </w:r>
          </w:p>
        </w:tc>
      </w:tr>
    </w:tbl>
    <w:p>
      <w:pPr>
        <w:pStyle w:val="Heading2"/>
        <w:spacing w:after="60" w:before="140" w:line="259" w:lineRule="auto"/>
      </w:pPr>
      <w:r>
        <w:t>Tecnologia e engenharia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.NET 8 / C# 12 para os componentes da Solution; Microsoft SQL Server como tecnologia relacional normativa.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Bronze física fora do banco funcional, em armazenamento durável content-addressed por SHA-256; SQL preserva metadados, estado e lineage.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Git é a fonte oficial dos artefatos editáveis; releases são ligadas a commit/tag e acompanhadas por manifesto e hashes.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SQL Server 2022 Developer em Docker é o ambiente local de desenvolvimento/teste, sem pretensão de reproduzir Produção.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A v3.56 consolida massa sintética determinística, harness de escala, fault injection do gate serial e ensaio de backup/restore, e aprimora o watchdog da carga inicial para distinguir ausência de progresso de duração total excepcional.</w:t>
      </w:r>
    </w:p>
    <w:p>
      <w:r>
        <w:br w:type="page"/>
      </w:r>
    </w:p>
    <w:p>
      <w:pPr>
        <w:pStyle w:val="Heading1"/>
        <w:spacing w:before="200" w:after="120"/>
        <w:pBdr>
          <w:bottom w:val="single" w:sz="10" w:space="4" w:color="C9A227"/>
        </w:pBdr>
      </w:pPr>
      <w:r>
        <w:t>4. Pessoa, identidade e qualidade da informação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524"/>
            <w:shd w:fill="F5EFD8"/>
            <w:tcMar>
              <w:top w:w="16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2F5597"/>
                <w:sz w:val="20"/>
              </w:rPr>
              <w:t>Regra de identidade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222222"/>
                <w:sz w:val="18"/>
              </w:rPr>
              <w:t>CPF válido é a rota determinística normal, mas não autoriza fusão cega. Se o CPF já estiver associado a outro UUID, a Jornada confronta nome e data de nascimento antes de reutilizar o vínculo.</w:t>
            </w:r>
          </w:p>
        </w:tc>
      </w:tr>
    </w:tbl>
    <w:p>
      <w:pPr>
        <w:spacing w:after="80" w:before="140" w:line="259" w:lineRule="auto"/>
      </w:pPr>
      <w:r>
        <w:t>O modelo separa quatro conceitos que frequentemente são confundidos: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6803"/>
      </w:tblGrid>
      <w:tr>
        <w:tc>
          <w:tcPr>
            <w:tcW w:type="dxa" w:w="4762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CPF</w:t>
            </w:r>
          </w:p>
        </w:tc>
        <w:tc>
          <w:tcPr>
            <w:tcW w:type="dxa" w:w="476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2" w:lineRule="auto"/>
            </w:pPr>
            <w:r>
              <w:rPr>
                <w:rFonts w:ascii="Arial" w:hAnsi="Arial"/>
                <w:color w:val="222222"/>
                <w:sz w:val="17"/>
              </w:rPr>
              <w:t>Identificador legal primário e rota determinística normal.</w:t>
            </w:r>
          </w:p>
        </w:tc>
      </w:tr>
      <w:tr>
        <w:tc>
          <w:tcPr>
            <w:tcW w:type="dxa" w:w="4762"/>
            <w:shd w:fill="EEF3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PESSOA_UUID</w:t>
            </w:r>
          </w:p>
        </w:tc>
        <w:tc>
          <w:tcPr>
            <w:tcW w:type="dxa" w:w="4762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2" w:lineRule="auto"/>
            </w:pPr>
            <w:r>
              <w:rPr>
                <w:rFonts w:ascii="Arial" w:hAnsi="Arial"/>
                <w:color w:val="222222"/>
                <w:sz w:val="17"/>
              </w:rPr>
              <w:t>Chave técnica interna, aleatória e estável, sem semântica de negócio.</w:t>
            </w:r>
          </w:p>
        </w:tc>
      </w:tr>
      <w:tr>
        <w:tc>
          <w:tcPr>
            <w:tcW w:type="dxa" w:w="4762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Gold Pessoas</w:t>
            </w:r>
          </w:p>
        </w:tc>
        <w:tc>
          <w:tcPr>
            <w:tcW w:type="dxa" w:w="476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2" w:lineRule="auto"/>
            </w:pPr>
            <w:r>
              <w:rPr>
                <w:rFonts w:ascii="Arial" w:hAnsi="Arial"/>
                <w:color w:val="222222"/>
                <w:sz w:val="17"/>
              </w:rPr>
              <w:t>Melhor representação municipal corrente da Pessoa segundo fontes, evidências, temporalidade e resolução.</w:t>
            </w:r>
          </w:p>
        </w:tc>
      </w:tr>
      <w:tr>
        <w:tc>
          <w:tcPr>
            <w:tcW w:type="dxa" w:w="4762"/>
            <w:shd w:fill="EEF3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Gold Registros</w:t>
            </w:r>
          </w:p>
        </w:tc>
        <w:tc>
          <w:tcPr>
            <w:tcW w:type="dxa" w:w="4762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2" w:lineRule="auto"/>
            </w:pPr>
            <w:r>
              <w:rPr>
                <w:rFonts w:ascii="Arial" w:hAnsi="Arial"/>
                <w:color w:val="222222"/>
                <w:sz w:val="17"/>
              </w:rPr>
              <w:t>Histórico factual canônico de Benefícios Concedidos e Serviços Prestados, separado do cadastro da Pessoa.</w:t>
            </w:r>
          </w:p>
        </w:tc>
      </w:tr>
    </w:tbl>
    <w:p>
      <w:pPr>
        <w:pStyle w:val="Heading2"/>
        <w:spacing w:after="60" w:before="140" w:line="259" w:lineRule="auto"/>
      </w:pPr>
      <w:r>
        <w:t>Tratamento conservador de conflito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Se nome estiver em estado LOW e a data de nascimento divergir, a política CPF_CORE_CONSISTENCY_V1 gera CPF_COMPARTILHADO_SUSPEITO.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O identificador pode ficar EM_CONFLITO e a resolução deixa de devolver UUID até regularização governada.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O fato finalístico válido continua materializado em Gold/Serving com PESSOA_UUID nulo e estado de conflito de identidade; o painel factual não perde a ocorrência.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Casos sem CPF admitidos entram como PENDENTE_PROBABILISTICO e podem ser processados pelo Linkage Runner com modelo versionado.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Correção governada de identidade pode separar ou fundir vínculos internos mediante ato explícito, sem editar a base finalística.</w:t>
      </w:r>
    </w:p>
    <w:p>
      <w:pPr>
        <w:pStyle w:val="Heading2"/>
        <w:spacing w:after="60" w:before="120" w:line="259" w:lineRule="auto"/>
      </w:pPr>
      <w:r>
        <w:t>Evidência e atributos transversais</w:t>
      </w:r>
    </w:p>
    <w:p>
      <w:pPr>
        <w:spacing w:after="80" w:before="0" w:line="259" w:lineRule="auto"/>
      </w:pPr>
      <w:r>
        <w:t>Nome social, endereço, telefone e outros atributos transversais seguem políticas próprias de evidência. A precedência decorre da qualidade, pertinência e temporalidade da evidência — não do órgão que a produziu. Conferências documentais realizadas nos sistemas dos Gestores retornam à Jornada pela ingestão e preservam proveniência.</w:t>
      </w:r>
    </w:p>
    <w:p>
      <w:r>
        <w:br w:type="page"/>
      </w:r>
    </w:p>
    <w:p>
      <w:pPr>
        <w:pStyle w:val="Heading1"/>
        <w:spacing w:before="200" w:after="120"/>
        <w:pBdr>
          <w:bottom w:val="single" w:sz="10" w:space="4" w:color="C9A227"/>
        </w:pBdr>
      </w:pPr>
      <w:r>
        <w:t>5. Acesso, segurança, territorialização e divergências</w:t>
      </w:r>
    </w:p>
    <w:p>
      <w:pPr>
        <w:pStyle w:val="Heading2"/>
        <w:spacing w:after="60" w:before="0" w:line="259" w:lineRule="auto"/>
      </w:pPr>
      <w:r>
        <w:t>Modelo de acesso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A autorização combina credencial autenticada, Gestor responsável, scopes, recurso solicitado, JSON Schema autorizado e eventuais restrições negativas de projeção.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Nenhuma credencial autorizada depende de vínculo ou fato prévio da Pessoa com o Gestor/Tipo.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Credenciais de Tipo permanecem limitadas ao próprio código de recurso; compartilhar a Pessoa não significa liberar todos os recursos.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A finalidade declarada pelo consumidor não integra mais a autorização: auditoria registra fatos observáveis da chamada, não intenções auto declaradas.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Logs evitam payload integral, chaves e identificadores civis desnecessários; consultas individuais e em lote deixam trilha auditável.</w:t>
      </w:r>
    </w:p>
    <w:p>
      <w:pPr>
        <w:pStyle w:val="Heading2"/>
        <w:spacing w:after="60" w:before="120" w:line="259" w:lineRule="auto"/>
      </w:pPr>
      <w:r>
        <w:t>Referência Territorial</w:t>
      </w:r>
    </w:p>
    <w:p>
      <w:pPr>
        <w:spacing w:after="80" w:before="0" w:line="259" w:lineRule="auto"/>
      </w:pPr>
      <w:r>
        <w:t>Na Fase 1, a territorialização é responsabilidade do Gestor/origem. ENDERECO_RESIDENCIAL e REFERENCIA_TERRITORIAL informam situacaoGeografia; quando RESOLVIDA, devem carregar Distrito, Subprefeitura e referenciaMalha. A Jornada não faz chamada geográfica online Pessoa-a-Pessoa durante a ingestão. A ausência territorial é qualificada e mensurada, não inferida a partir do local do atendimento.</w:t>
      </w:r>
    </w:p>
    <w:p>
      <w:pPr>
        <w:pStyle w:val="Heading2"/>
        <w:spacing w:after="60" w:before="120" w:line="259" w:lineRule="auto"/>
      </w:pPr>
      <w:r>
        <w:t>Serviço de Divergências — escopo mínimo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524"/>
            <w:shd w:fill="EEF3F8"/>
            <w:tcMar>
              <w:top w:w="16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2F5597"/>
                <w:sz w:val="20"/>
              </w:rPr>
              <w:t>Fase 1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222222"/>
                <w:sz w:val="18"/>
              </w:rPr>
              <w:t>O Serviço de Divergências informa o Gestor e registra o desfecho; não corrige dados. A Solution implementa listagem da fila e registro de desfecho. Correção cadastral volta por nova observação Pessoa; correção factual volta por ALTERACAO/RETIFICACAO; conflitos de identidade usam o fluxo governado próprio.</w:t>
            </w:r>
          </w:p>
        </w:tc>
      </w:tr>
    </w:tbl>
    <w:p>
      <w:pPr>
        <w:spacing w:after="80" w:before="100" w:line="259" w:lineRule="auto"/>
      </w:pPr>
      <w:r>
        <w:t>Comparação cadastral assistida, tipologia de óbito e notificações externas são evoluções de Fase 2, assim como integração CBC/Conecta ou outras bases federais para verificação em lote.</w:t>
      </w:r>
    </w:p>
    <w:p>
      <w:r>
        <w:br w:type="page"/>
      </w:r>
    </w:p>
    <w:p>
      <w:pPr>
        <w:pStyle w:val="Heading1"/>
        <w:spacing w:before="200" w:after="120"/>
        <w:pBdr>
          <w:bottom w:val="single" w:sz="10" w:space="4" w:color="C9A227"/>
        </w:pBdr>
      </w:pPr>
      <w:r>
        <w:t>6. Business Intelligence, operação e qualidade</w:t>
      </w:r>
    </w:p>
    <w:p>
      <w:pPr>
        <w:pStyle w:val="Heading2"/>
        <w:spacing w:after="60" w:before="0" w:line="259" w:lineRule="auto"/>
      </w:pPr>
      <w:r>
        <w:t>BI como produto da arquitetura</w:t>
      </w:r>
    </w:p>
    <w:p>
      <w:pPr>
        <w:spacing w:after="80" w:before="0" w:line="259" w:lineRule="auto"/>
      </w:pPr>
      <w:r>
        <w:t>A Fase 1 entrega um projeto Power BI versionável, ligado às views Serving, com dashboards executivos e de qualidade. A validação estrutural automática não substitui a abertura, validação e salvamento em Microsoft Power BI Desktop homologado antes da promoção.</w:t>
      </w:r>
    </w:p>
    <w:p>
      <w:pPr>
        <w:pStyle w:val="Heading2"/>
        <w:spacing w:after="60" w:before="120" w:line="259" w:lineRule="auto"/>
      </w:pPr>
      <w:r>
        <w:t>Painéis prioritários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175"/>
        <w:gridCol w:w="3118"/>
      </w:tblGrid>
      <w:tr>
        <w:trPr>
          <w:tblHeader w:val="true"/>
        </w:trPr>
        <w:tc>
          <w:tcPr>
            <w:tcW w:type="dxa" w:w="317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Gestão</w:t>
            </w:r>
          </w:p>
        </w:tc>
        <w:tc>
          <w:tcPr>
            <w:tcW w:type="dxa" w:w="317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Qualidade</w:t>
            </w:r>
          </w:p>
        </w:tc>
        <w:tc>
          <w:tcPr>
            <w:tcW w:type="dxa" w:w="317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Operação</w:t>
            </w:r>
          </w:p>
        </w:tc>
      </w:tr>
      <w:tr>
        <w:tc>
          <w:tcPr>
            <w:tcW w:type="dxa" w:w="317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b/>
                <w:color w:val="17365D"/>
                <w:sz w:val="16"/>
              </w:rPr>
              <w:t>Visão Geral / Executivos de Benefícios e Serviços</w:t>
            </w:r>
          </w:p>
        </w:tc>
        <w:tc>
          <w:tcPr>
            <w:tcW w:type="dxa" w:w="317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color w:val="222222"/>
                <w:sz w:val="16"/>
              </w:rPr>
              <w:t>Qualidade da Pessoa / Identidade por Origem</w:t>
            </w:r>
          </w:p>
        </w:tc>
        <w:tc>
          <w:tcPr>
            <w:tcW w:type="dxa" w:w="317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color w:val="222222"/>
                <w:sz w:val="16"/>
              </w:rPr>
              <w:t>Ingestão, API e Processamento</w:t>
            </w:r>
          </w:p>
        </w:tc>
      </w:tr>
      <w:tr>
        <w:tc>
          <w:tcPr>
            <w:tcW w:type="dxa" w:w="3175"/>
            <w:shd w:fill="F7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b/>
                <w:color w:val="17365D"/>
                <w:sz w:val="16"/>
              </w:rPr>
              <w:t>Monetário / Registros / Possibilidades</w:t>
            </w:r>
          </w:p>
        </w:tc>
        <w:tc>
          <w:tcPr>
            <w:tcW w:type="dxa" w:w="3175"/>
            <w:shd w:fill="F7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color w:val="222222"/>
                <w:sz w:val="16"/>
              </w:rPr>
              <w:t>Quality Control por Gestor e Tipo</w:t>
            </w:r>
          </w:p>
        </w:tc>
        <w:tc>
          <w:tcPr>
            <w:tcW w:type="dxa" w:w="3175"/>
            <w:shd w:fill="F7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color w:val="222222"/>
                <w:sz w:val="16"/>
              </w:rPr>
              <w:t>Qualidade dos Pacotes / backlog</w:t>
            </w:r>
          </w:p>
        </w:tc>
      </w:tr>
      <w:tr>
        <w:tc>
          <w:tcPr>
            <w:tcW w:type="dxa" w:w="317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b/>
                <w:color w:val="17365D"/>
                <w:sz w:val="16"/>
              </w:rPr>
              <w:t>Atraso de Recebimento / Territorialização</w:t>
            </w:r>
          </w:p>
        </w:tc>
        <w:tc>
          <w:tcPr>
            <w:tcW w:type="dxa" w:w="317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color w:val="222222"/>
                <w:sz w:val="16"/>
              </w:rPr>
              <w:t>Pendências de Identidade / Convergência</w:t>
            </w:r>
          </w:p>
        </w:tc>
        <w:tc>
          <w:tcPr>
            <w:tcW w:type="dxa" w:w="317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color w:val="222222"/>
                <w:sz w:val="16"/>
              </w:rPr>
              <w:t>Carga Inicial / Manutenção da Bronze</w:t>
            </w:r>
          </w:p>
        </w:tc>
      </w:tr>
    </w:tbl>
    <w:p>
      <w:pPr>
        <w:pStyle w:val="Heading2"/>
        <w:spacing w:after="60" w:before="140" w:line="259" w:lineRule="auto"/>
      </w:pPr>
      <w:r>
        <w:t>Operação corporativa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Os executáveis permanecem independentes. A ordem e a cadência são declaradas no runbook e executadas pelo scheduler corporativo da PRODAM.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O gate serial baseado em SQL coordena Processor, geração de parâmetros e Runner sem transformar a biblioteca de coordenação em novo ponto único de falha.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O watchdog observa runs/modelos/lotes estagnados, backlog e carga inicial sem progresso persistido, mantendo também um teto absoluto de duração como rede de segurança. Ele não mata sessões nem muda estados automaticamente; os limiares são calibrados em HML.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HML deve medir p50/p95, vazão, backlog, drenagem, duração dos jobs e indicadores de qualidade para dimensionar eventual Produção.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Backup/restore, fault injection e testes de escala têm harnesses prontos; a homologação final depende de ambiente HML representativo.</w:t>
      </w:r>
    </w:p>
    <w:p>
      <w:r>
        <w:br w:type="page"/>
      </w:r>
    </w:p>
    <w:p>
      <w:pPr>
        <w:pStyle w:val="Heading1"/>
        <w:spacing w:before="200" w:after="120"/>
        <w:pBdr>
          <w:bottom w:val="single" w:sz="10" w:space="4" w:color="C9A227"/>
        </w:pBdr>
      </w:pPr>
      <w:r>
        <w:t>7. Implantação, aceite e dependências remanescentes</w:t>
      </w:r>
    </w:p>
    <w:p>
      <w:pPr>
        <w:pStyle w:val="Heading2"/>
        <w:spacing w:after="60" w:before="0" w:line="259" w:lineRule="auto"/>
      </w:pPr>
      <w:r>
        <w:t>Plano de seis meses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72"/>
        <w:gridCol w:w="4025"/>
      </w:tblGrid>
      <w:tr>
        <w:trPr>
          <w:tblHeader w:val="true"/>
        </w:trPr>
        <w:tc>
          <w:tcPr>
            <w:tcW w:type="dxa" w:w="317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Período</w:t>
            </w:r>
          </w:p>
        </w:tc>
        <w:tc>
          <w:tcPr>
            <w:tcW w:type="dxa" w:w="317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Foco técnico</w:t>
            </w:r>
          </w:p>
        </w:tc>
        <w:tc>
          <w:tcPr>
            <w:tcW w:type="dxa" w:w="3175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317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b/>
                <w:color w:val="17365D"/>
                <w:sz w:val="16"/>
              </w:rPr>
              <w:t>Mês 1</w:t>
            </w:r>
          </w:p>
        </w:tc>
        <w:tc>
          <w:tcPr>
            <w:tcW w:type="dxa" w:w="317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color w:val="222222"/>
                <w:sz w:val="16"/>
              </w:rPr>
              <w:t>Contratos, Solution, DDL/seed, PBIP e HML base</w:t>
            </w:r>
          </w:p>
        </w:tc>
        <w:tc>
          <w:tcPr>
            <w:tcW w:type="dxa" w:w="317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color w:val="222222"/>
                <w:sz w:val="16"/>
              </w:rPr>
              <w:t>Fronteiras estabilizadas para trabalho paralelo</w:t>
            </w:r>
          </w:p>
        </w:tc>
      </w:tr>
      <w:tr>
        <w:tc>
          <w:tcPr>
            <w:tcW w:type="dxa" w:w="3175"/>
            <w:shd w:fill="F7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b/>
                <w:color w:val="17365D"/>
                <w:sz w:val="16"/>
              </w:rPr>
              <w:t>Meses 2–3</w:t>
            </w:r>
          </w:p>
        </w:tc>
        <w:tc>
          <w:tcPr>
            <w:tcW w:type="dxa" w:w="3175"/>
            <w:shd w:fill="F7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color w:val="222222"/>
                <w:sz w:val="16"/>
              </w:rPr>
              <w:t>Ingestão, Processor, identidade CPF, territorialização, parâmetros de linkage</w:t>
            </w:r>
          </w:p>
        </w:tc>
        <w:tc>
          <w:tcPr>
            <w:tcW w:type="dxa" w:w="3175"/>
            <w:shd w:fill="F7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color w:val="222222"/>
                <w:sz w:val="16"/>
              </w:rPr>
              <w:t>Fluxo Bronze→Prata→Gold operando em HML</w:t>
            </w:r>
          </w:p>
        </w:tc>
      </w:tr>
      <w:tr>
        <w:tc>
          <w:tcPr>
            <w:tcW w:type="dxa" w:w="317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b/>
                <w:color w:val="17365D"/>
                <w:sz w:val="16"/>
              </w:rPr>
              <w:t>Meses 4–5</w:t>
            </w:r>
          </w:p>
        </w:tc>
        <w:tc>
          <w:tcPr>
            <w:tcW w:type="dxa" w:w="317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color w:val="222222"/>
                <w:sz w:val="16"/>
              </w:rPr>
              <w:t>Linkage probabilístico, QC, Serving, consultas, Possibilidades, BI e integrações reais</w:t>
            </w:r>
          </w:p>
        </w:tc>
        <w:tc>
          <w:tcPr>
            <w:tcW w:type="dxa" w:w="3175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color w:val="222222"/>
                <w:sz w:val="16"/>
              </w:rPr>
              <w:t>Capacidades funcionais integradas e calibradas</w:t>
            </w:r>
          </w:p>
        </w:tc>
      </w:tr>
      <w:tr>
        <w:tc>
          <w:tcPr>
            <w:tcW w:type="dxa" w:w="3175"/>
            <w:shd w:fill="F7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b/>
                <w:color w:val="17365D"/>
                <w:sz w:val="16"/>
              </w:rPr>
              <w:t>Mês 6</w:t>
            </w:r>
          </w:p>
        </w:tc>
        <w:tc>
          <w:tcPr>
            <w:tcW w:type="dxa" w:w="3175"/>
            <w:shd w:fill="F7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color w:val="222222"/>
                <w:sz w:val="16"/>
              </w:rPr>
              <w:t>Replay, auditoria, performance, restore, acabamento BI e hardening</w:t>
            </w:r>
          </w:p>
        </w:tc>
        <w:tc>
          <w:tcPr>
            <w:tcW w:type="dxa" w:w="3175"/>
            <w:shd w:fill="F7F9F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</w:pPr>
            <w:r>
              <w:rPr>
                <w:rFonts w:ascii="Arial" w:hAnsi="Arial"/>
                <w:color w:val="222222"/>
                <w:sz w:val="16"/>
              </w:rPr>
              <w:t>Aceite HML, runbooks e evidências operacionais</w:t>
            </w:r>
          </w:p>
        </w:tc>
      </w:tr>
    </w:tbl>
    <w:p>
      <w:pPr>
        <w:pStyle w:val="Heading2"/>
        <w:spacing w:after="60" w:before="140" w:line="259" w:lineRule="auto"/>
      </w:pPr>
      <w:r>
        <w:t>Critérios executivos de aceite da Fase 1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Autenticação, ingestão ZIP, processamento Bronze→Prata→Gold/Serving e consultas autorizadas funcionando ponta a ponta.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Bootstrap da Gold por CPF, tratamento de conflito de CPF e linkage probabilístico versionado/reprodutível para exceções sem CPF.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QC e Referência Territorial materializados com cobertura e estados explícitos.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Power BI aberto e validado em Desktop homologado sobre SQL Server HML.</w:t>
      </w:r>
    </w:p>
    <w:p>
      <w:pPr>
        <w:pStyle w:val="ListBullet"/>
        <w:spacing w:after="40" w:line="252" w:lineRule="auto"/>
      </w:pPr>
      <w:r>
        <w:rPr>
          <w:rFonts w:ascii="Arial" w:hAnsi="Arial"/>
          <w:color w:val="222222"/>
          <w:sz w:val="18"/>
        </w:rPr>
        <w:t>Logs, auditoria, watchdog, scheduler corporativo e evidências de reprocessamento/recuperação demonstrados em HML.</w:t>
      </w:r>
    </w:p>
    <w:p>
      <w:pPr>
        <w:pStyle w:val="Heading2"/>
        <w:spacing w:after="60" w:before="120" w:line="259" w:lineRule="auto"/>
      </w:pPr>
      <w:r>
        <w:t>Pendências que permanecem externas ao desenvolvimento da 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6746"/>
      </w:tblGrid>
      <w:tr>
        <w:tc>
          <w:tcPr>
            <w:tcW w:type="dxa" w:w="4762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Governança e jurídico</w:t>
            </w:r>
          </w:p>
        </w:tc>
        <w:tc>
          <w:tcPr>
            <w:tcW w:type="dxa" w:w="476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2" w:lineRule="auto"/>
            </w:pPr>
            <w:r>
              <w:rPr>
                <w:rFonts w:ascii="Arial" w:hAnsi="Arial"/>
                <w:color w:val="222222"/>
                <w:sz w:val="17"/>
              </w:rPr>
              <w:t>Instrumento de compartilhamento, base legal/regime de acesso, catálogo de evidências, retenção, RIPD e taxonomia de proteção especial/sigilo.</w:t>
            </w:r>
          </w:p>
        </w:tc>
      </w:tr>
      <w:tr>
        <w:tc>
          <w:tcPr>
            <w:tcW w:type="dxa" w:w="4762"/>
            <w:shd w:fill="EEF3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Gestores</w:t>
            </w:r>
          </w:p>
        </w:tc>
        <w:tc>
          <w:tcPr>
            <w:tcW w:type="dxa" w:w="4762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2" w:lineRule="auto"/>
            </w:pPr>
            <w:r>
              <w:rPr>
                <w:rFonts w:ascii="Arial" w:hAnsi="Arial"/>
                <w:color w:val="222222"/>
                <w:sz w:val="17"/>
              </w:rPr>
              <w:t>Schemas e Tipos iniciais, política de CPF excepcional, SLAs por Tipo, territorialização oficial, regras de QC/Possibilidades e processo de correção.</w:t>
            </w:r>
          </w:p>
        </w:tc>
      </w:tr>
      <w:tr>
        <w:tc>
          <w:tcPr>
            <w:tcW w:type="dxa" w:w="4762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Segurança / Infra</w:t>
            </w:r>
          </w:p>
        </w:tc>
        <w:tc>
          <w:tcPr>
            <w:tcW w:type="dxa" w:w="476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2" w:lineRule="auto"/>
            </w:pPr>
            <w:r>
              <w:rPr>
                <w:rFonts w:ascii="Arial" w:hAnsi="Arial"/>
                <w:color w:val="222222"/>
                <w:sz w:val="17"/>
              </w:rPr>
              <w:t>Código+chave corporativo, secrets/rotação, gateway/proxies confiáveis, scheduler efetivo, RPO/RTO e ambiente de eventual Produção.</w:t>
            </w:r>
          </w:p>
        </w:tc>
      </w:tr>
      <w:tr>
        <w:tc>
          <w:tcPr>
            <w:tcW w:type="dxa" w:w="4762"/>
            <w:shd w:fill="EEF3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Dados / Linkage</w:t>
            </w:r>
          </w:p>
        </w:tc>
        <w:tc>
          <w:tcPr>
            <w:tcW w:type="dxa" w:w="4762"/>
            <w:shd w:fill="FAFA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2" w:lineRule="auto"/>
            </w:pPr>
            <w:r>
              <w:rPr>
                <w:rFonts w:ascii="Arial" w:hAnsi="Arial"/>
                <w:color w:val="222222"/>
                <w:sz w:val="17"/>
              </w:rPr>
              <w:t>Calibração de T_LINKAGE, governança por risco e homologação do blocking com dados autorizados.</w:t>
            </w:r>
          </w:p>
        </w:tc>
      </w:tr>
      <w:tr>
        <w:tc>
          <w:tcPr>
            <w:tcW w:type="dxa" w:w="4762"/>
            <w:shd w:fill="DCE6F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rial" w:hAnsi="Arial"/>
                <w:b/>
                <w:color w:val="17365D"/>
                <w:sz w:val="17"/>
              </w:rPr>
              <w:t>BI / HML</w:t>
            </w:r>
          </w:p>
        </w:tc>
        <w:tc>
          <w:tcPr>
            <w:tcW w:type="dxa" w:w="4762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52" w:lineRule="auto"/>
            </w:pPr>
            <w:r>
              <w:rPr>
                <w:rFonts w:ascii="Arial" w:hAnsi="Arial"/>
                <w:color w:val="222222"/>
                <w:sz w:val="17"/>
              </w:rPr>
              <w:t>Versão homologada do Power BI Desktop, Gateway/publicação e validação funcional com dados e volumes representativos.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524"/>
            <w:shd w:fill="E2F0D9"/>
            <w:tcMar>
              <w:top w:w="16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17365D"/>
                <w:sz w:val="20"/>
              </w:rPr>
              <w:t>Leitura de maturidade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color w:val="222222"/>
                <w:sz w:val="18"/>
              </w:rPr>
              <w:t>A v3.56 deixa a maior parte das capacidades técnicas materializadas ou com harness de teste reproduzível. O caminho crítico restante desloca-se para homologação, configuração institucional, segurança corporativa, contratos dos Gestores e decisões de governança — não para criação de nova arquitetura.</w:t>
            </w:r>
          </w:p>
        </w:tc>
      </w:tr>
    </w:tbl>
    <w:p>
      <w:pPr>
        <w:pStyle w:val="Heading1"/>
        <w:spacing w:before="200" w:after="120"/>
        <w:pBdr>
          <w:bottom w:val="single" w:sz="10" w:space="4" w:color="C9A227"/>
        </w:pBdr>
      </w:pPr>
      <w:r>
        <w:t>8. Mensagem final</w:t>
      </w:r>
    </w:p>
    <w:p>
      <w:pPr>
        <w:spacing w:after="80" w:before="0" w:line="259" w:lineRule="auto"/>
      </w:pPr>
      <w:r>
        <w:t>A Jornada foi desenhada para ampliar o compartilhamento municipal sem desmontar responsabilidades setoriais. Ela centraliza a capacidade de integração, identidade, qualidade e visão analítica, mas mantém os sistemas finalísticos como origem e autoridade administrativa dos fatos. O desenho evita uma base monolítica de “verdade absoluta”: a Gold é uma representação evolutiva, auditável e corrigível por evidências.</w:t>
      </w:r>
    </w:p>
    <w:p>
      <w:pPr>
        <w:spacing w:after="80" w:before="0" w:line="259" w:lineRule="auto"/>
      </w:pPr>
      <w:r>
        <w:t>Para a Fase 1, a prioridade executiva é estabilizar contratos com os Gestores, homologar a infraestrutura e a segurança, calibrar identidade/linkage em HML e validar o Power BI. Capacidades futuras — como CBC/Conecta, comparação cadastral assistida, tipologia de óbito e notificações externas — permanecem separadas para não criar dependências no caminho crítico da primeira entrega.</w:t>
      </w:r>
    </w:p>
    <w:p>
      <w:pPr>
        <w:spacing w:before="240"/>
        <w:jc w:val="center"/>
      </w:pPr>
      <w:r>
        <w:rPr>
          <w:rFonts w:ascii="Arial" w:hAnsi="Arial"/>
          <w:b/>
          <w:color w:val="17365D"/>
          <w:sz w:val="18"/>
        </w:rPr>
        <w:t>Referência oficial: Especificação Técnica Jornada v3.56 e anexos técnicos vigentes.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964" w:right="1191" w:bottom="90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5"/>
      </w:rPr>
      <w:t>Jornada do Cidadão — Resumo Executivo da Especificação Técnica | Base v3.56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F559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F559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 w:val="0"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 w:val="0"/>
      <w:i/>
      <w:iCs/>
      <w:color w:val="C9A22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rPr>
      <w:rFonts w:ascii="Arial" w:hAnsi="Arial"/>
      <w:b/>
      <w:color w:val="C9A227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Executivo da Especificação Técnica da Jornada v1.1</dc:title>
  <dc:subject>Síntese executiva da Especificação Técnica Jornada v3.56</dc:subject>
  <dc:creator>SGM/SPE</dc:creator>
  <cp:keywords>Jornada do Cidadão, Resumo Executivo, Especificação Técnica, Fase 1</cp:keywords>
  <dc:description>Documento auxiliar e não normativo; base técnica v3.56.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