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media/rId20.png" ContentType="image/png"/>
  <Override PartName="/word/media/rId23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25a21ff4429eaf50e3897a6508e51369a4e21cf"/>
    <w:p>
      <w:pPr>
        <w:pStyle w:val="Heading1"/>
      </w:pPr>
      <w:r>
        <w:t xml:space="preserve">Anexo - Modelo Físico da Jornada do Cidadão v1.40</w:t>
      </w:r>
    </w:p>
    <w:p>
      <w:pPr>
        <w:pStyle w:val="FirstParagraph"/>
      </w:pPr>
      <w:r>
        <w:rPr>
          <w:bCs/>
          <w:b/>
        </w:rPr>
        <w:t xml:space="preserve">Data:</w:t>
      </w:r>
      <w:r>
        <w:t xml:space="preserve"> </w:t>
      </w:r>
      <w:r>
        <w:t xml:space="preserve">10/09/2026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CANDIDATO À CONSOLIDAÇÃO v5.00</w:t>
      </w:r>
      <w:r>
        <w:br/>
      </w:r>
      <w:r>
        <w:rPr>
          <w:bCs/>
          <w:b/>
        </w:rPr>
        <w:t xml:space="preserve">Tecnologia relacional normativa:</w:t>
      </w:r>
      <w:r>
        <w:t xml:space="preserve"> </w:t>
      </w:r>
      <w:r>
        <w:t xml:space="preserve">Microsoft SQL Server</w:t>
      </w:r>
      <w:r>
        <w:br/>
      </w:r>
      <w:r>
        <w:rPr>
          <w:bCs/>
          <w:b/>
        </w:rPr>
        <w:t xml:space="preserve">SolutionSchema alvo:</w:t>
      </w:r>
      <w:r>
        <w:t xml:space="preserve"> </w:t>
      </w:r>
      <w:r>
        <w:t xml:space="preserve">3.70</w:t>
      </w:r>
    </w:p>
    <w:bookmarkStart w:id="27" w:name="finalidade-e-notação"/>
    <w:p>
      <w:pPr>
        <w:pStyle w:val="Heading2"/>
      </w:pPr>
      <w:r>
        <w:t xml:space="preserve">1. Finalidade e notação</w:t>
      </w:r>
    </w:p>
    <w:p>
      <w:pPr>
        <w:pStyle w:val="FirstParagraph"/>
      </w:pPr>
      <w:r>
        <w:t xml:space="preserve">Este anexo descreve o inventário físico relacional da Jornada e a forma canônica de instalação do schema operacional. O modelo físico/DER é uma visão auxiliar de banco de dados e</w:t>
      </w:r>
      <w:r>
        <w:t xml:space="preserve"> </w:t>
      </w:r>
      <w:r>
        <w:rPr>
          <w:bCs/>
          <w:b/>
        </w:rPr>
        <w:t xml:space="preserve">não é classificado como UML</w:t>
      </w:r>
      <w:r>
        <w:t xml:space="preserve">.</w:t>
      </w:r>
    </w:p>
    <w:p>
      <w:pPr>
        <w:pStyle w:val="BodyText"/>
      </w:pPr>
      <w:r>
        <w:t xml:space="preserve">A documentação de entrega destinada à leitura deve ser publicada em</w:t>
      </w:r>
      <w:r>
        <w:t xml:space="preserve"> </w:t>
      </w:r>
      <w:r>
        <w:rPr>
          <w:bCs/>
          <w:b/>
        </w:rPr>
        <w:t xml:space="preserve">DOCX e PDF</w:t>
      </w:r>
      <w:r>
        <w:t xml:space="preserve">, com os diagramas UML incorporados visualmente. O diagrama de classes da Identidade/Linkage e o diagrama de atividade da resolução de identidade fazem parte do conteúdo documental, sem exigir PlantUML, Mermaid ou software específico do leitor. Fontes técnicas auxiliares de geração de figura não são o artefato documental de entrega.</w:t>
      </w:r>
    </w:p>
    <w:bookmarkStart w:id="26" w:name="diagramas-uml-normativos-incorporados"/>
    <w:p>
      <w:pPr>
        <w:pStyle w:val="Heading3"/>
      </w:pPr>
      <w:r>
        <w:t xml:space="preserve">1.1 Diagramas UML normativos incorporados</w:t>
      </w:r>
    </w:p>
    <w:p>
      <w:pPr>
        <w:pStyle w:val="CaptionedFigure"/>
      </w:pPr>
      <w:r>
        <w:drawing>
          <wp:inline>
            <wp:extent cx="5939999" cy="2763014"/>
            <wp:effectExtent b="0" l="0" r="0" t="0"/>
            <wp:docPr descr="Figura 1 - Diagrama de classes UML da estrutura de Identidade/Linkage" title="" id="21" name="Picture"/>
            <a:graphic>
              <a:graphicData uri="http://schemas.openxmlformats.org/drawingml/2006/picture">
                <pic:pic>
                  <pic:nvPicPr>
                    <pic:cNvPr descr="Jornada_Identidade_Linkage_Classe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27630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1 - Diagrama de classes UML da estrutura de Identidade/Linkage</w:t>
      </w:r>
    </w:p>
    <w:p>
      <w:pPr>
        <w:pStyle w:val="CaptionedFigure"/>
      </w:pPr>
      <w:r>
        <w:drawing>
          <wp:inline>
            <wp:extent cx="5399999" cy="4345395"/>
            <wp:effectExtent b="0" l="0" r="0" t="0"/>
            <wp:docPr descr="Figura 2 - Diagrama de atividade UML da resolução de identidade" title="" id="24" name="Picture"/>
            <a:graphic>
              <a:graphicData uri="http://schemas.openxmlformats.org/drawingml/2006/picture">
                <pic:pic>
                  <pic:nvPicPr>
                    <pic:cNvPr descr="Jornada_Resolucao_Identidade_Atividade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4345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2 - Diagrama de atividade UML da resolução de identidade</w:t>
      </w:r>
    </w:p>
    <w:bookmarkEnd w:id="26"/>
    <w:bookmarkEnd w:id="27"/>
    <w:bookmarkStart w:id="28" w:name="definição-canônica-do-schema"/>
    <w:p>
      <w:pPr>
        <w:pStyle w:val="Heading2"/>
      </w:pPr>
      <w:r>
        <w:t xml:space="preserve">2. Definição canônica do schema</w:t>
      </w:r>
    </w:p>
    <w:p>
      <w:pPr>
        <w:pStyle w:val="FirstParagraph"/>
      </w:pPr>
      <w:r>
        <w:t xml:space="preserve">A instalação nova do SQL Server deve utilizar</w:t>
      </w:r>
      <w:r>
        <w:t xml:space="preserve"> </w:t>
      </w:r>
      <w:r>
        <w:rPr>
          <w:rStyle w:val="VerbatimChar"/>
        </w:rPr>
        <w:t xml:space="preserve">Solution/database/Jornada_Fase1_v3.70.sql</w:t>
      </w:r>
      <w:r>
        <w:t xml:space="preserve"> </w:t>
      </w:r>
      <w:r>
        <w:t xml:space="preserve">como fonte canônica editável. Esse ponto de entrada aplica, em ordem determinística, o baseline histórico, a persistência progressiva, as estruturas de composição, a âncora CPF e as projeções/rulesets de blocking, e somente promove</w:t>
      </w:r>
      <w:r>
        <w:t xml:space="preserve"> </w:t>
      </w:r>
      <w:r>
        <w:rPr>
          <w:rStyle w:val="VerbatimChar"/>
        </w:rPr>
        <w:t xml:space="preserve">Jornada.SolutionSchema=3.70</w:t>
      </w:r>
      <w:r>
        <w:t xml:space="preserve"> </w:t>
      </w:r>
      <w:r>
        <w:t xml:space="preserve">depois de verificar a existência de todos os objetos obrigatórios.</w:t>
      </w:r>
    </w:p>
    <w:p>
      <w:pPr>
        <w:pStyle w:val="BodyText"/>
      </w:pPr>
      <w:r>
        <w:t xml:space="preserve">Para entrega a DBA ou ferramenta de deploy,</w:t>
      </w:r>
      <w:r>
        <w:t xml:space="preserve"> </w:t>
      </w:r>
      <w:r>
        <w:rPr>
          <w:rStyle w:val="VerbatimChar"/>
        </w:rPr>
        <w:t xml:space="preserve">Solution/scripts/materialize-sql-installer.py</w:t>
      </w:r>
      <w:r>
        <w:t xml:space="preserve"> </w:t>
      </w:r>
      <w:r>
        <w:t xml:space="preserve">materializa deterministicamente a composição canônica em um único arquivo SQL Server autocontido, sem diretivas</w:t>
      </w:r>
      <w:r>
        <w:t xml:space="preserve"> </w:t>
      </w:r>
      <w:r>
        <w:rPr>
          <w:rStyle w:val="VerbatimChar"/>
        </w:rPr>
        <w:t xml:space="preserve">:r</w:t>
      </w:r>
      <w:r>
        <w:t xml:space="preserve">. O arquivo materializado não constitui uma segunda definição de schema: é um artefato gerado a partir da fonte canônica.</w:t>
      </w:r>
    </w:p>
    <w:p>
      <w:pPr>
        <w:pStyle w:val="BodyText"/>
      </w:pPr>
      <w:r>
        <w:t xml:space="preserve">Os scripts em</w:t>
      </w:r>
      <w:r>
        <w:t xml:space="preserve"> </w:t>
      </w:r>
      <w:r>
        <w:rPr>
          <w:rStyle w:val="VerbatimChar"/>
        </w:rPr>
        <w:t xml:space="preserve">Solution/database/migrations/</w:t>
      </w:r>
      <w:r>
        <w:t xml:space="preserve"> </w:t>
      </w:r>
      <w:r>
        <w:t xml:space="preserve">permanecem preservados como histórico e mecanismo de upgrade/reentrada. No upgrade que exige identidade progressiva, o backfill volumoso reutiliza o componente paginado/reentrante</w:t>
      </w:r>
      <w:r>
        <w:t xml:space="preserve"> </w:t>
      </w:r>
      <w:r>
        <w:rPr>
          <w:rStyle w:val="VerbatimChar"/>
        </w:rPr>
        <w:t xml:space="preserve">ProgressiveIdentityOriginStore.BackfillPageAsync</w:t>
      </w:r>
      <w:r>
        <w:t xml:space="preserve">, evitando uma segunda implementação T-SQL concorrente. O cutover permanece fail-closed e só prossegue após a verificação de completude do backfill.</w:t>
      </w:r>
    </w:p>
    <w:p>
      <w:pPr>
        <w:pStyle w:val="BodyText"/>
      </w:pPr>
      <w:r>
        <w:rPr>
          <w:rStyle w:val="VerbatimChar"/>
        </w:rPr>
        <w:t xml:space="preserve">GET /health/ready</w:t>
      </w:r>
      <w:r>
        <w:t xml:space="preserve"> </w:t>
      </w:r>
      <w:r>
        <w:t xml:space="preserve">exige Base Normativa 3.62, SolutionSchema 3.70 e os objetos operacionais essenciais da identidade progressiva, composição e Linkage. Uma instalação parcial não pode ser declarada pronta.</w:t>
      </w:r>
    </w:p>
    <w:bookmarkEnd w:id="28"/>
    <w:bookmarkStart w:id="29" w:name="inventário-medido"/>
    <w:p>
      <w:pPr>
        <w:pStyle w:val="Heading2"/>
      </w:pPr>
      <w:r>
        <w:t xml:space="preserve">3. Inventário medido</w:t>
      </w:r>
    </w:p>
    <w:p>
      <w:pPr>
        <w:pStyle w:val="FirstParagraph"/>
      </w:pPr>
      <w:r>
        <w:t xml:space="preserve">O inventário é derivado automaticamente por</w:t>
      </w:r>
      <w:r>
        <w:t xml:space="preserve"> </w:t>
      </w:r>
      <w:r>
        <w:rPr>
          <w:rStyle w:val="VerbatimChar"/>
        </w:rPr>
        <w:t xml:space="preserve">Solution/scripts/schema-inventory.py</w:t>
      </w:r>
      <w:r>
        <w:t xml:space="preserve"> </w:t>
      </w:r>
      <w:r>
        <w:t xml:space="preserve">e publicado como evidência pelo workflow</w:t>
      </w:r>
      <w:r>
        <w:t xml:space="preserve"> </w:t>
      </w:r>
      <w:r>
        <w:rPr>
          <w:rStyle w:val="VerbatimChar"/>
        </w:rPr>
        <w:t xml:space="preserve">jornada-schema-inventory</w:t>
      </w:r>
      <w:r>
        <w:t xml:space="preserve">.</w:t>
      </w:r>
    </w:p>
    <w:p>
      <w:pPr>
        <w:pStyle w:val="BodyText"/>
      </w:pPr>
      <w:r>
        <w:t xml:space="preserve">Resultado medido na consolidação de 10/09/2026:</w:t>
      </w:r>
    </w:p>
    <w:p>
      <w:pPr>
        <w:numPr>
          <w:ilvl w:val="0"/>
          <w:numId w:val="1001"/>
        </w:numPr>
        <w:pStyle w:val="Compact"/>
      </w:pPr>
      <w:r>
        <w:t xml:space="preserve">tabelas no</w:t>
      </w:r>
      <w:r>
        <w:t xml:space="preserve"> </w:t>
      </w:r>
      <w:r>
        <w:rPr>
          <w:rStyle w:val="VerbatimChar"/>
        </w:rPr>
        <w:t xml:space="preserve">Jornada_Fase1.sql</w:t>
      </w:r>
      <w:r>
        <w:t xml:space="preserve"> </w:t>
      </w:r>
      <w:r>
        <w:t xml:space="preserve">legado:</w:t>
      </w:r>
      <w:r>
        <w:t xml:space="preserve"> </w:t>
      </w:r>
      <w:r>
        <w:rPr>
          <w:bCs/>
          <w:b/>
        </w:rPr>
        <w:t xml:space="preserve">53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tabelas próprias do núcleo</w:t>
      </w:r>
      <w:r>
        <w:t xml:space="preserve"> </w:t>
      </w:r>
      <w:r>
        <w:rPr>
          <w:rStyle w:val="VerbatimChar"/>
        </w:rPr>
        <w:t xml:space="preserve">Jornada_Identidade_Progressiva.sql</w:t>
      </w:r>
      <w:r>
        <w:t xml:space="preserve">:</w:t>
      </w:r>
      <w:r>
        <w:t xml:space="preserve"> </w:t>
      </w:r>
      <w:r>
        <w:rPr>
          <w:bCs/>
          <w:b/>
        </w:rPr>
        <w:t xml:space="preserve">2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tabelas distintas introduzidas pelos scripts de migração de schema:</w:t>
      </w:r>
      <w:r>
        <w:t xml:space="preserve"> </w:t>
      </w:r>
      <w:r>
        <w:rPr>
          <w:bCs/>
          <w:b/>
        </w:rPr>
        <w:t xml:space="preserve">11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total distinto do schema operacional consolidado:</w:t>
      </w:r>
      <w:r>
        <w:t xml:space="preserve"> </w:t>
      </w:r>
      <w:r>
        <w:rPr>
          <w:bCs/>
          <w:b/>
        </w:rPr>
        <w:t xml:space="preserve">66 tabelas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tabelas do schema atual que não pertencem ao baseline legado de 53:</w:t>
      </w:r>
      <w:r>
        <w:t xml:space="preserve"> </w:t>
      </w:r>
      <w:r>
        <w:rPr>
          <w:bCs/>
          <w:b/>
        </w:rPr>
        <w:t xml:space="preserve">13</w:t>
      </w:r>
      <w:r>
        <w:t xml:space="preserve">.</w:t>
      </w:r>
    </w:p>
    <w:p>
      <w:pPr>
        <w:pStyle w:val="FirstParagraph"/>
      </w:pPr>
      <w:r>
        <w:t xml:space="preserve">Portanto, a contagem histórica 53/53 não representa o schema corrente. A contagem anterior de 64 também estava incompleta: o inventário automatizado encontrou 66 tabelas distintas.</w:t>
      </w:r>
    </w:p>
    <w:bookmarkEnd w:id="29"/>
    <w:bookmarkStart w:id="30" w:name="tabelas-fora-do-baseline-legado"/>
    <w:p>
      <w:pPr>
        <w:pStyle w:val="Heading2"/>
      </w:pPr>
      <w:r>
        <w:t xml:space="preserve">4. Tabelas fora do baseline legado</w:t>
      </w:r>
    </w:p>
    <w:p>
      <w:pPr>
        <w:pStyle w:val="FirstParagraph"/>
      </w:pPr>
      <w:r>
        <w:t xml:space="preserve">As 13 tabelas adicionais são: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identidade.blocking_chave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identidade.composicao_aplicacao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identidade.composicao_historico_aplicado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identidade.composicao_plano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identidade.composicao_publicacao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identidade.composicao_recomposicao_plano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identidade.composicao_uuid_reserva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identidade.cpf_ancora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identidade.linkage_ruleset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identidade.linkage_ruleset_passe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identidade.linkage_ruleset_passe_campo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identidade.pessoa_origem_progressiva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identidade.pessoa_origem_progressiva_evento</w:t>
      </w:r>
    </w:p>
    <w:bookmarkEnd w:id="30"/>
    <w:bookmarkStart w:id="40" w:name="inventário-completo---66-tabelas"/>
    <w:p>
      <w:pPr>
        <w:pStyle w:val="Heading2"/>
      </w:pPr>
      <w:r>
        <w:t xml:space="preserve">5. Inventário completo - 66 tabelas</w:t>
      </w:r>
    </w:p>
    <w:bookmarkStart w:id="31" w:name="bronze"/>
    <w:p>
      <w:pPr>
        <w:pStyle w:val="Heading3"/>
      </w:pPr>
      <w:r>
        <w:t xml:space="preserve">bronze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bronze.entrega_arquivo</w:t>
      </w:r>
    </w:p>
    <w:bookmarkEnd w:id="31"/>
    <w:bookmarkStart w:id="32" w:name="controle"/>
    <w:p>
      <w:pPr>
        <w:pStyle w:val="Heading3"/>
      </w:pPr>
      <w:r>
        <w:t xml:space="preserve">controle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controle.api_evento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controle.api_evento_pessoa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controle.bronze_manutencao_ciclo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controle.bronze_manutencao_estado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controle.credencial_api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controle.entrega_retencao_ciclo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controle.modo_carga_inicial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controle.restricao_projecao_jornada_versao</w:t>
      </w:r>
    </w:p>
    <w:bookmarkEnd w:id="32"/>
    <w:bookmarkStart w:id="33" w:name="gold"/>
    <w:p>
      <w:pPr>
        <w:pStyle w:val="Heading3"/>
      </w:pPr>
      <w:r>
        <w:t xml:space="preserve">gold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gold.beneficio_concedido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gold.pessoa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gold.pessoa_atributo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gold.servico_prestado</w:t>
      </w:r>
    </w:p>
    <w:bookmarkEnd w:id="33"/>
    <w:bookmarkStart w:id="34" w:name="identidade"/>
    <w:p>
      <w:pPr>
        <w:pStyle w:val="Heading3"/>
      </w:pPr>
      <w:r>
        <w:t xml:space="preserve">identidade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identidade.blocking_chave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identidade.caso_conflito_identidade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identidade.caso_conflito_identidade_item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identidade.composicao_aplicacao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identidade.composicao_historico_aplicado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identidade.composicao_plano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identidade.composicao_publicacao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identidade.composicao_recomposicao_plano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identidade.composicao_uuid_reserva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identidade.correcao_identidade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identidade.correcao_identidade_item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identidade.cpf_ancora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identidade.estatistica_linkage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identidade.frequencia_linkage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identidade.identity_map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identidade.identity_map_estado_evento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identidade.linkage_resultado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identidade.linkage_ruleset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identidade.linkage_ruleset_passe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identidade.linkage_ruleset_passe_campo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identidade.linkage_run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identidade.linkage_run_item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identidade.modelo_linkage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identidade.parametro_linkage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identidade.pessoa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identidade.pessoa_origem_progressiva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identidade.pessoa_origem_progressiva_evento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identidade.vinculo_fonte</w:t>
      </w:r>
    </w:p>
    <w:bookmarkEnd w:id="34"/>
    <w:bookmarkStart w:id="35" w:name="ingestao"/>
    <w:p>
      <w:pPr>
        <w:pStyle w:val="Heading3"/>
      </w:pPr>
      <w:r>
        <w:t xml:space="preserve">ingestao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ingestao.entrega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ingestao.item_processado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ingestao.item_processado_resumo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ingestao.lote</w:t>
      </w:r>
    </w:p>
    <w:bookmarkEnd w:id="35"/>
    <w:bookmarkStart w:id="36" w:name="qualidade"/>
    <w:p>
      <w:pPr>
        <w:pStyle w:val="Heading3"/>
      </w:pPr>
      <w:r>
        <w:t xml:space="preserve">qualidade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qualidade.avaliacao_possibilidade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qualidade.divergencia_gestor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qualidade.possibilidade_implementacao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qualidade.qc_registro_implementacao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qualidade.qc_registro_resultado</w:t>
      </w:r>
    </w:p>
    <w:bookmarkEnd w:id="36"/>
    <w:bookmarkStart w:id="37" w:name="ref"/>
    <w:p>
      <w:pPr>
        <w:pStyle w:val="Heading3"/>
      </w:pPr>
      <w:r>
        <w:t xml:space="preserve">ref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ref.atributo_transversal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ref.distrito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ref.gestor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ref.gestor_pessoa_versao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ref.sistema_origem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ref.subprefeitura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ref.tipo_registro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ref.tipo_registro_versao</w:t>
      </w:r>
    </w:p>
    <w:bookmarkEnd w:id="37"/>
    <w:bookmarkStart w:id="38" w:name="serving"/>
    <w:p>
      <w:pPr>
        <w:pStyle w:val="Heading3"/>
      </w:pPr>
      <w:r>
        <w:t xml:space="preserve">serving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serving.registro_integrado</w:t>
      </w:r>
    </w:p>
    <w:bookmarkEnd w:id="38"/>
    <w:bookmarkStart w:id="39" w:name="silver"/>
    <w:p>
      <w:pPr>
        <w:pStyle w:val="Heading3"/>
      </w:pPr>
      <w:r>
        <w:t xml:space="preserve">silver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silver.pessoa_atributo_observacao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silver.pessoa_campo_verificacao_observacao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silver.pessoa_observacao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silver.pessoa_origem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silver.referencia_territorial_observacao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silver.registro_observacao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silver.registro_origem</w:t>
      </w:r>
    </w:p>
    <w:bookmarkEnd w:id="39"/>
    <w:bookmarkEnd w:id="40"/>
    <w:bookmarkStart w:id="41" w:name="regras-de-evolução"/>
    <w:p>
      <w:pPr>
        <w:pStyle w:val="Heading2"/>
      </w:pPr>
      <w:r>
        <w:t xml:space="preserve">6. Regras de evolução</w:t>
      </w:r>
    </w:p>
    <w:p>
      <w:pPr>
        <w:numPr>
          <w:ilvl w:val="0"/>
          <w:numId w:val="1012"/>
        </w:numPr>
        <w:pStyle w:val="Compact"/>
      </w:pPr>
      <w:r>
        <w:t xml:space="preserve">Microsoft SQL Server permanece a tecnologia relacional normativa.</w:t>
      </w:r>
    </w:p>
    <w:p>
      <w:pPr>
        <w:numPr>
          <w:ilvl w:val="0"/>
          <w:numId w:val="1012"/>
        </w:numPr>
        <w:pStyle w:val="Compact"/>
      </w:pPr>
      <w:r>
        <w:t xml:space="preserve">Toda instalação nova deve partir do ponto canônico v3.70 ou sucessor.</w:t>
      </w:r>
    </w:p>
    <w:p>
      <w:pPr>
        <w:numPr>
          <w:ilvl w:val="0"/>
          <w:numId w:val="1012"/>
        </w:numPr>
        <w:pStyle w:val="Compact"/>
      </w:pPr>
      <w:r>
        <w:t xml:space="preserve">O marcador</w:t>
      </w:r>
      <w:r>
        <w:t xml:space="preserve"> </w:t>
      </w:r>
      <w:r>
        <w:rPr>
          <w:rStyle w:val="VerbatimChar"/>
        </w:rPr>
        <w:t xml:space="preserve">Jornada.SolutionSchema</w:t>
      </w:r>
      <w:r>
        <w:t xml:space="preserve"> </w:t>
      </w:r>
      <w:r>
        <w:t xml:space="preserve">só pode ser promovido após verificação de completude.</w:t>
      </w:r>
    </w:p>
    <w:p>
      <w:pPr>
        <w:numPr>
          <w:ilvl w:val="0"/>
          <w:numId w:val="1012"/>
        </w:numPr>
        <w:pStyle w:val="Compact"/>
      </w:pPr>
      <w:r>
        <w:t xml:space="preserve">O inventário de tabelas deve ser gerado por script, não mantido apenas por contagem manual em anexos.</w:t>
      </w:r>
    </w:p>
    <w:p>
      <w:pPr>
        <w:numPr>
          <w:ilvl w:val="0"/>
          <w:numId w:val="1012"/>
        </w:numPr>
        <w:pStyle w:val="Compact"/>
      </w:pPr>
      <w:r>
        <w:t xml:space="preserve">PostgreSQL pode possuir implementações paralelas em escopos explicitamente suportados, mas não redefine o baseline relacional normativo.</w:t>
      </w:r>
    </w:p>
    <w:p>
      <w:pPr>
        <w:numPr>
          <w:ilvl w:val="0"/>
          <w:numId w:val="1012"/>
        </w:numPr>
        <w:pStyle w:val="Compact"/>
      </w:pPr>
      <w:r>
        <w:t xml:space="preserve">Fabric permanece no escopo analítico/compatibilidade definido pela arquitetura.</w:t>
      </w:r>
    </w:p>
    <w:p>
      <w:pPr>
        <w:numPr>
          <w:ilvl w:val="0"/>
          <w:numId w:val="1012"/>
        </w:numPr>
        <w:pStyle w:val="Compact"/>
      </w:pPr>
      <w:r>
        <w:t xml:space="preserve">DER/modelo físico é auxiliar; diagramas normativos de estrutura/fluxo devem usar UML.</w:t>
      </w:r>
    </w:p>
    <w:p>
      <w:pPr>
        <w:numPr>
          <w:ilvl w:val="0"/>
          <w:numId w:val="1012"/>
        </w:numPr>
        <w:pStyle w:val="Compact"/>
      </w:pPr>
      <w:r>
        <w:t xml:space="preserve">Os artefatos de leitura/entrega dos diagramas devem ser DOCX/PDF com as figuras incorporadas, sem exigir formatos especializados do destinatário.</w:t>
      </w:r>
    </w:p>
    <w:bookmarkEnd w:id="41"/>
    <w:bookmarkEnd w:id="42"/>
    <w:sectPr w:rsidR="00FC693F" w:rsidRPr="0006063C" w:rsidSect="00034616">
      <w:footerReference r:id="rId12" w:type="default"/>
      <w:headerReference r:id="rId9" w:type="default"/>
      <w:headerReference r:id="rId10" w:type="first"/>
      <w:footerReference r:id="rId13" w:type="first"/>
      <w:headerReference r:id="rId11" w:type="even"/>
      <w:footerReference r:id="rId14" w:type="even"/>
      <w:pgSz w:h="12240" w:orient="landscape" w:w="15840"/>
      <w:pgMar w:bottom="936" w:footer="720" w:gutter="0" w:header="720" w:left="1008" w:right="1008" w:top="936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Jornada do Cidadão  •  Página </w:t>
    </w:r>
    <w:fldSimple w:instr="PAGE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ptos" w:hAnsi="Aptos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ptos" w:asciiTheme="majorHAnsi" w:cstheme="majorBidi" w:eastAsiaTheme="majorEastAsia" w:hAnsi="Aptos" w:hAnsiTheme="majorHAnsi"/>
      <w:b/>
      <w:bCs/>
      <w:color w:themeColor="accent1" w:themeShade="BF" w:val="365F91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ptos" w:asciiTheme="majorHAnsi" w:cstheme="majorBidi" w:eastAsiaTheme="majorEastAsia" w:hAnsi="Aptos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ptos" w:asciiTheme="majorHAnsi" w:cstheme="majorBidi" w:eastAsiaTheme="majorEastAsia" w:hAnsi="Aptos" w:hAnsiTheme="majorHAnsi"/>
      <w:b/>
      <w:bCs/>
      <w:color w:themeColor="accent1" w:val="4F81BD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Aptos" w:asciiTheme="majorHAnsi" w:cstheme="majorBidi" w:eastAsiaTheme="majorEastAsia" w:hAnsi="Aptos" w:hAnsiTheme="majorHAnsi"/>
      <w:color w:themeColor="text2" w:themeShade="BF" w:val="17365D"/>
      <w:spacing w:val="5"/>
      <w:kern w:val="28"/>
      <w:sz w:val="48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2.xml" Type="http://schemas.openxmlformats.org/officeDocument/2006/relationships/header" /><Relationship Id="rId11" Target="header3.xml" Type="http://schemas.openxmlformats.org/officeDocument/2006/relationships/header" /><Relationship Id="rId12" Target="footer1.xml" Type="http://schemas.openxmlformats.org/officeDocument/2006/relationships/footer" /><Relationship Id="rId13" Target="footer2.xml" Type="http://schemas.openxmlformats.org/officeDocument/2006/relationships/footer" /><Relationship Id="rId14" Target="footer3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2026-09-10T19:23:26Z</dcterms:created>
  <dcterms:modified xsi:type="dcterms:W3CDTF">2026-09-10T19:23:26Z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