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b50487ee1b42641ae6447140955a9a6dbeaab5"/>
    <w:p>
      <w:pPr>
        <w:pStyle w:val="Heading1"/>
      </w:pPr>
      <w:r>
        <w:t xml:space="preserve">Requisitos Funcionais - Jornada do Cidadão - Fase 1 - Aditivo v1.1</w:t>
      </w:r>
    </w:p>
    <w:p>
      <w:pPr>
        <w:pStyle w:val="FirstParagraph"/>
      </w:pPr>
      <w:r>
        <w:rPr>
          <w:bCs/>
          <w:b/>
        </w:rPr>
        <w:t xml:space="preserve">Versão do aditivo: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09/09/2026</w:t>
      </w:r>
      <w:r>
        <w:br/>
      </w: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02_Requisitos_Funcionais_Jornada_v1.0.md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VIGENTE - COMPLEMENTO NORMATIVO</w:t>
      </w:r>
    </w:p>
    <w:p>
      <w:pPr>
        <w:pStyle w:val="BodyText"/>
      </w:pPr>
      <w:r>
        <w:t xml:space="preserve">Este documento complementa, sem apagar nem renumerar, os 50 RFs do baseline v1.0. Os requisitos abaixo passam a integrar a definição funcional corrente da Fase 1 e devem ser lidos cumulativamente com o baseline. A numeração canônica desta consolidação é</w:t>
      </w:r>
      <w:r>
        <w:t xml:space="preserve"> </w:t>
      </w:r>
      <w:r>
        <w:rPr>
          <w:bCs/>
          <w:b/>
        </w:rPr>
        <w:t xml:space="preserve">RF-051 a RF-056</w:t>
      </w:r>
      <w:r>
        <w:t xml:space="preserve">; o antigo Adendo 06 foi reclassificado como histórico e não cria uma segunda numeração concorrente.</w:t>
      </w:r>
    </w:p>
    <w:bookmarkStart w:id="20" w:name="X6ac9192abf6bc177e2952c454dd88d3ff34dcd6"/>
    <w:p>
      <w:pPr>
        <w:pStyle w:val="Heading2"/>
      </w:pPr>
      <w:r>
        <w:t xml:space="preserve">RF-051 - Executar calibrador e avaliador com paralelismo quando vantajoso</w:t>
      </w:r>
    </w:p>
    <w:p>
      <w:pPr>
        <w:pStyle w:val="FirstParagraph"/>
      </w:pPr>
      <w:r>
        <w:rPr>
          <w:bCs/>
          <w:b/>
        </w:rPr>
        <w:t xml:space="preserve">Requisito funcional.</w:t>
      </w:r>
      <w:r>
        <w:t xml:space="preserve"> </w:t>
      </w:r>
      <w:r>
        <w:t xml:space="preserve">O calibrador e o avaliador devem explorar paralelismo sempre que a operação puder ser executada independentemente e houver evidência de ganho de desempenho no ambiente-alvo, sem alterar determinismo, reprodutibilidade, isolamento do corpus ou resultados estatísticos.</w:t>
      </w:r>
    </w:p>
    <w:p>
      <w:pPr>
        <w:pStyle w:val="BodyText"/>
      </w:pPr>
      <w:r>
        <w:rPr>
          <w:bCs/>
          <w:b/>
        </w:rPr>
        <w:t xml:space="preserve">Critério de aceitação funcional.</w:t>
      </w:r>
      <w:r>
        <w:t xml:space="preserve"> </w:t>
      </w:r>
      <w:r>
        <w:t xml:space="preserve">A execução paralela deve produzir resultado semanticamente equivalente à execução serial para a mesma versão de regras, corpus e semente/configuração. O grau de paralelismo deve ser limitado e configurável. Paralelismo que degrade desempenho, aumente contenção ou comprometa reprodutibilidade não deve ser habilitado por padrão. A decisão serial/paralela deve ser sustentada por benchmark reproduzível no ambiente-alvo ou equivalente.</w:t>
      </w:r>
    </w:p>
    <w:p>
      <w:pPr>
        <w:pStyle w:val="BodyText"/>
      </w:pPr>
      <w:r>
        <w:rPr>
          <w:bCs/>
          <w:b/>
        </w:rPr>
        <w:t xml:space="preserve">Rastreabilidade de negócio.</w:t>
      </w:r>
      <w:r>
        <w:t xml:space="preserve"> </w:t>
      </w:r>
      <w:r>
        <w:t xml:space="preserve">RN-023, RN-024, RN-028, RN-035</w:t>
      </w:r>
    </w:p>
    <w:p>
      <w:pPr>
        <w:pStyle w:val="BodyText"/>
      </w:pPr>
      <w:r>
        <w:rPr>
          <w:bCs/>
          <w:b/>
        </w:rPr>
        <w:t xml:space="preserve">Rastreabilidade de qualidade/técnica.</w:t>
      </w:r>
      <w:r>
        <w:t xml:space="preserve"> </w:t>
      </w:r>
      <w:r>
        <w:t xml:space="preserve">RNF: RNF-015, RNF-020, RNF-021, RNF34-A, RNF34-B; RT: RT-057, RT-058</w:t>
      </w:r>
    </w:p>
    <w:bookmarkEnd w:id="20"/>
    <w:bookmarkStart w:id="21" w:name="Xda6c660c4b27a4ec0aecea41b5291662fd6862f"/>
    <w:p>
      <w:pPr>
        <w:pStyle w:val="Heading2"/>
      </w:pPr>
      <w:r>
        <w:t xml:space="preserve">RF-052 - Usar frequências agregadas oficiais do IBGE como evidência de blocking quando aplicável</w:t>
      </w:r>
    </w:p>
    <w:p>
      <w:pPr>
        <w:pStyle w:val="FirstParagraph"/>
      </w:pPr>
      <w:r>
        <w:rPr>
          <w:bCs/>
          <w:b/>
        </w:rPr>
        <w:t xml:space="preserve">Requisito funcional.</w:t>
      </w:r>
      <w:r>
        <w:t xml:space="preserve"> </w:t>
      </w:r>
      <w:r>
        <w:t xml:space="preserve">O mecanismo de otimização de blocking deve poder usar dados oficiais agregados do IBGE, versionados e com proveniência verificável, para melhorar discriminação/priorização de combinações de nome, prenome, sobrenome e último nome sempre que a fonte estiver disponível, tecnicamente compatível e demonstrar ganho mensurável sem reduzir recall além dos limites aprovados.</w:t>
      </w:r>
    </w:p>
    <w:p>
      <w:pPr>
        <w:pStyle w:val="BodyText"/>
      </w:pPr>
      <w:r>
        <w:rPr>
          <w:bCs/>
          <w:b/>
        </w:rPr>
        <w:t xml:space="preserve">Critério de aceitação funcional.</w:t>
      </w:r>
      <w:r>
        <w:t xml:space="preserve"> </w:t>
      </w:r>
      <w:r>
        <w:t xml:space="preserve">A ausência ou indisponibilidade do IBGE não pode tornar o Linkage incorreto: o sistema deve operar com fallback versionado. O uso do IBGE deve registrar versão/fingerprint da fonte e nunca tratá-la como verdade individual nem usar CPF da fonte externa. Sempre que uma frequência oficial aplicável estiver disponível, o otimizador deve considerá-la como evidência candidata e registrar se ela foi usada ou por que foi descartada.</w:t>
      </w:r>
    </w:p>
    <w:p>
      <w:pPr>
        <w:pStyle w:val="BodyText"/>
      </w:pPr>
      <w:r>
        <w:rPr>
          <w:bCs/>
          <w:b/>
        </w:rPr>
        <w:t xml:space="preserve">Rastreabilidade de negócio.</w:t>
      </w:r>
      <w:r>
        <w:t xml:space="preserve"> </w:t>
      </w:r>
      <w:r>
        <w:t xml:space="preserve">RN-005, RN-014, RN-023, RN-024, RN-029</w:t>
      </w:r>
    </w:p>
    <w:p>
      <w:pPr>
        <w:pStyle w:val="BodyText"/>
      </w:pPr>
      <w:r>
        <w:rPr>
          <w:bCs/>
          <w:b/>
        </w:rPr>
        <w:t xml:space="preserve">Rastreabilidade de qualidade/técnica.</w:t>
      </w:r>
      <w:r>
        <w:t xml:space="preserve"> </w:t>
      </w:r>
      <w:r>
        <w:t xml:space="preserve">RNF: RNF-013, RNF-016, RNF-021, RNF-027, RNF34-A; RT: RT-027, RT-028, RT-029, RT-057</w:t>
      </w:r>
    </w:p>
    <w:bookmarkEnd w:id="21"/>
    <w:bookmarkStart w:id="22" w:name="Xf3d6d2f7eb64ca2baa9d1c980b0b07fb960a185"/>
    <w:p>
      <w:pPr>
        <w:pStyle w:val="Heading2"/>
      </w:pPr>
      <w:r>
        <w:t xml:space="preserve">RF-053 - Considerar componentes de nome e nascimento no blocking otimizado</w:t>
      </w:r>
    </w:p>
    <w:p>
      <w:pPr>
        <w:pStyle w:val="FirstParagraph"/>
      </w:pPr>
      <w:r>
        <w:rPr>
          <w:bCs/>
          <w:b/>
        </w:rPr>
        <w:t xml:space="preserve">Requisito funcional.</w:t>
      </w:r>
      <w:r>
        <w:t xml:space="preserve"> </w:t>
      </w:r>
      <w:r>
        <w:t xml:space="preserve">O universo candidato deve permitir regras de blocking que considerem separadamente</w:t>
      </w:r>
      <w:r>
        <w:t xml:space="preserve"> </w:t>
      </w:r>
      <w:r>
        <w:rPr>
          <w:bCs/>
          <w:b/>
        </w:rPr>
        <w:t xml:space="preserve">nome completo, prenome, sobrenome, último nome</w:t>
      </w:r>
      <w:r>
        <w:t xml:space="preserve"> </w:t>
      </w:r>
      <w:r>
        <w:t xml:space="preserve">e os componentes</w:t>
      </w:r>
      <w:r>
        <w:t xml:space="preserve"> </w:t>
      </w:r>
      <w:r>
        <w:rPr>
          <w:bCs/>
          <w:b/>
        </w:rPr>
        <w:t xml:space="preserve">dia, mês e ano</w:t>
      </w:r>
      <w:r>
        <w:t xml:space="preserve"> </w:t>
      </w:r>
      <w:r>
        <w:t xml:space="preserve">da data de nascimento, inclusive combinações entre esses atributos. O otimizador de blocking deve avaliar as combinações candidatas e selecionar a melhor política segundo critérios versionados de recall, redução do espaço de pares, custo, tamanho de blocos, ganho incremental, dependência/redundância e risco de falso vínculo. Quando existirem frequências oficiais do IBGE aplicáveis aos componentes nominais, elas devem integrar a avaliação das combinações candidatas.</w:t>
      </w:r>
    </w:p>
    <w:p>
      <w:pPr>
        <w:pStyle w:val="BodyText"/>
      </w:pPr>
      <w:r>
        <w:rPr>
          <w:bCs/>
          <w:b/>
        </w:rPr>
        <w:t xml:space="preserve">Critério de aceitação funcional.</w:t>
      </w:r>
      <w:r>
        <w:t xml:space="preserve"> </w:t>
      </w:r>
      <w:r>
        <w:t xml:space="preserve">A política selecionada deve identificar explicitamente os atributos/passes utilizados, a versão do otimizador, o corpus/evidência, as métricas de comparação e o motivo da seleção. Nenhuma combinação pode ser escolhida apenas por correlação ou apenas por reduzir candidatos; recall de vínculos verdadeiros e risco de falso vínculo são gates obrigatórios.</w:t>
      </w:r>
    </w:p>
    <w:p>
      <w:pPr>
        <w:pStyle w:val="BodyText"/>
      </w:pPr>
      <w:r>
        <w:rPr>
          <w:bCs/>
          <w:b/>
        </w:rPr>
        <w:t xml:space="preserve">Rastreabilidade de negócio.</w:t>
      </w:r>
      <w:r>
        <w:t xml:space="preserve"> </w:t>
      </w:r>
      <w:r>
        <w:t xml:space="preserve">RN-005, RN-006, RN-014, RN-023, RN-024</w:t>
      </w:r>
    </w:p>
    <w:p>
      <w:pPr>
        <w:pStyle w:val="BodyText"/>
      </w:pPr>
      <w:r>
        <w:rPr>
          <w:bCs/>
          <w:b/>
        </w:rPr>
        <w:t xml:space="preserve">Rastreabilidade de qualidade/técnica.</w:t>
      </w:r>
      <w:r>
        <w:t xml:space="preserve"> </w:t>
      </w:r>
      <w:r>
        <w:t xml:space="preserve">RNF: RNF-016, RNF-021, RNF-025, RNF-027, RNF34-A; RT: RT-027, RT-028, RT-029, RT-057</w:t>
      </w:r>
    </w:p>
    <w:bookmarkEnd w:id="22"/>
    <w:bookmarkStart w:id="23" w:name="X521e86af86b3ca7d70cff2d8f947e76732c269d"/>
    <w:p>
      <w:pPr>
        <w:pStyle w:val="Heading2"/>
      </w:pPr>
      <w:r>
        <w:t xml:space="preserve">RF-054 - Preservar a semântica oficial dos nomes do IBGE</w:t>
      </w:r>
    </w:p>
    <w:p>
      <w:pPr>
        <w:pStyle w:val="FirstParagraph"/>
      </w:pPr>
      <w:r>
        <w:rPr>
          <w:bCs/>
          <w:b/>
        </w:rPr>
        <w:t xml:space="preserve">Requisito funcional.</w:t>
      </w:r>
      <w:r>
        <w:t xml:space="preserve"> </w:t>
      </w:r>
      <w:r>
        <w:t xml:space="preserve">Os dados de nomes e sobrenomes provenientes do IBGE devem preservar a grafia e a frequência oficiais publicadas. A preparação técnica pode aplicar somente transformações necessárias à comparação computacional, como tratamento versionado de caixa, espaços e acentuação, sem colapsar grafias distintas por regras fonéticas, duplicação de letras ou equivalências inventadas não presentes na fonte oficial.</w:t>
      </w:r>
    </w:p>
    <w:p>
      <w:pPr>
        <w:pStyle w:val="BodyText"/>
      </w:pPr>
      <w:r>
        <w:rPr>
          <w:bCs/>
          <w:b/>
        </w:rPr>
        <w:t xml:space="preserve">Critério de aceitação funcional.</w:t>
      </w:r>
      <w:r>
        <w:t xml:space="preserve"> </w:t>
      </w:r>
      <w:r>
        <w:t xml:space="preserve">O valor original e sua frequência oficial devem permanecer recuperáveis para auditoria. Toda representação técnica derivada deve registrar versão da transformação e permitir rastreamento até o valor original. Mudanças de normalização exigem nova versão e regressões antes de uso real.</w:t>
      </w:r>
    </w:p>
    <w:p>
      <w:pPr>
        <w:pStyle w:val="BodyText"/>
      </w:pPr>
      <w:r>
        <w:rPr>
          <w:bCs/>
          <w:b/>
        </w:rPr>
        <w:t xml:space="preserve">Rastreabilidade de negócio.</w:t>
      </w:r>
      <w:r>
        <w:t xml:space="preserve"> </w:t>
      </w:r>
      <w:r>
        <w:t xml:space="preserve">RN-005, RN-014, RN-024, RN-029, RN-030</w:t>
      </w:r>
    </w:p>
    <w:p>
      <w:pPr>
        <w:pStyle w:val="BodyText"/>
      </w:pPr>
      <w:r>
        <w:rPr>
          <w:bCs/>
          <w:b/>
        </w:rPr>
        <w:t xml:space="preserve">Rastreabilidade de qualidade/técnica.</w:t>
      </w:r>
      <w:r>
        <w:t xml:space="preserve"> </w:t>
      </w:r>
      <w:r>
        <w:t xml:space="preserve">RNF: RNF-013, RNF-016, RNF-021, RNF-030, RNF34-A; RT: RT-029, RT-049, RT-057</w:t>
      </w:r>
    </w:p>
    <w:bookmarkEnd w:id="23"/>
    <w:bookmarkStart w:id="24" w:name="Xbf07568449d7883fca4b5cb575c066cf43d7b1e"/>
    <w:p>
      <w:pPr>
        <w:pStyle w:val="Heading2"/>
      </w:pPr>
      <w:r>
        <w:t xml:space="preserve">RF-055 - Reutilizar no avaliador a regra dinâmica versionada produzida pelo calibrador</w:t>
      </w:r>
    </w:p>
    <w:p>
      <w:pPr>
        <w:pStyle w:val="FirstParagraph"/>
      </w:pPr>
      <w:r>
        <w:rPr>
          <w:bCs/>
          <w:b/>
        </w:rPr>
        <w:t xml:space="preserve">Requisito funcional.</w:t>
      </w:r>
      <w:r>
        <w:t xml:space="preserve"> </w:t>
      </w:r>
      <w:r>
        <w:t xml:space="preserve">Toda política dinâmica de blocking utilizada pelo calibrador deve ser materializada como artefato versionado e imutável de regras/configuração e o avaliador deve consumir exatamente essa mesma versão, sem reconstrução semântica independente.</w:t>
      </w:r>
    </w:p>
    <w:p>
      <w:pPr>
        <w:pStyle w:val="BodyText"/>
      </w:pPr>
      <w:r>
        <w:rPr>
          <w:bCs/>
          <w:b/>
        </w:rPr>
        <w:t xml:space="preserve">Critério de aceitação funcional.</w:t>
      </w:r>
      <w:r>
        <w:t xml:space="preserve"> </w:t>
      </w:r>
      <w:r>
        <w:t xml:space="preserve">O relatório de avaliação deve registrar o identificador/fingerprint da política recebida do calibrador e falhar fechado quando a política estiver ausente, incompatível ou divergente. Calibrador e avaliador executados sobre o mesmo corpus e política devem concordar sobre a elegibilidade de cada par candidato.</w:t>
      </w:r>
    </w:p>
    <w:p>
      <w:pPr>
        <w:pStyle w:val="BodyText"/>
      </w:pPr>
      <w:r>
        <w:rPr>
          <w:bCs/>
          <w:b/>
        </w:rPr>
        <w:t xml:space="preserve">Rastreabilidade de negócio.</w:t>
      </w:r>
      <w:r>
        <w:t xml:space="preserve"> </w:t>
      </w:r>
      <w:r>
        <w:t xml:space="preserve">RN-003, RN-014, RN-024, RN-029</w:t>
      </w:r>
    </w:p>
    <w:p>
      <w:pPr>
        <w:pStyle w:val="BodyText"/>
      </w:pPr>
      <w:r>
        <w:rPr>
          <w:bCs/>
          <w:b/>
        </w:rPr>
        <w:t xml:space="preserve">Rastreabilidade de qualidade/técnica.</w:t>
      </w:r>
      <w:r>
        <w:t xml:space="preserve"> </w:t>
      </w:r>
      <w:r>
        <w:t xml:space="preserve">RNF: RNF-013, RNF-016, RNF-021, RNF34-A; RT: RT-027, RT-029, RT-057</w:t>
      </w:r>
    </w:p>
    <w:bookmarkEnd w:id="24"/>
    <w:bookmarkStart w:id="25" w:name="X7d82e834070b6ed18ba5f32895f34bbc7bc8489"/>
    <w:p>
      <w:pPr>
        <w:pStyle w:val="Heading2"/>
      </w:pPr>
      <w:r>
        <w:t xml:space="preserve">RF-056 - Evitar snapshots redundantes da base oficial do IBGE</w:t>
      </w:r>
    </w:p>
    <w:p>
      <w:pPr>
        <w:pStyle w:val="FirstParagraph"/>
      </w:pPr>
      <w:r>
        <w:rPr>
          <w:bCs/>
          <w:b/>
        </w:rPr>
        <w:t xml:space="preserve">Requisito funcional.</w:t>
      </w:r>
      <w:r>
        <w:t xml:space="preserve"> </w:t>
      </w:r>
      <w:r>
        <w:t xml:space="preserve">Antes de baixar e publicar um novo snapshot de dados oficiais do IBGE, o processo de aquisição deve verificar se a origem mudou.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deve ser usado como pré-verificação barata quando disponível, combinado preferencialmente com validadores HTTP como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. Igualdade apenas do número de bytes não é evidência suficiente para declarar o conteúdo idêntico.</w:t>
      </w:r>
    </w:p>
    <w:p>
      <w:pPr>
        <w:pStyle w:val="BodyText"/>
      </w:pPr>
      <w:r>
        <w:rPr>
          <w:bCs/>
          <w:b/>
        </w:rPr>
        <w:t xml:space="preserve">Critério de aceitação funcional.</w:t>
      </w:r>
      <w:r>
        <w:t xml:space="preserve"> </w:t>
      </w:r>
      <w:r>
        <w:t xml:space="preserve">Quando validadores fortes ou combinação confiável de metadados provarem que a origem não mudou, o download deve ser evitado. Quando os metadados forem ausentes, inconclusivos ou divergentes, o conteúdo deve ser baixado para área temporária e comparado por SHA-256 com o snapshot vigente. Um novo snapshot imutável só pode ser publicado/versionado quando o fingerprint do conteúdo efetivamente mudar. A proveniência deve registrar URI, tamanho, validadores disponíveis, SHA-256 e instante de aquisição/verificação.</w:t>
      </w:r>
    </w:p>
    <w:p>
      <w:pPr>
        <w:pStyle w:val="BodyText"/>
      </w:pPr>
      <w:r>
        <w:rPr>
          <w:bCs/>
          <w:b/>
        </w:rPr>
        <w:t xml:space="preserve">Rastreabilidade de negócio.</w:t>
      </w:r>
      <w:r>
        <w:t xml:space="preserve"> </w:t>
      </w:r>
      <w:r>
        <w:t xml:space="preserve">RN-014, RN-023, RN-024, RN-029</w:t>
      </w:r>
    </w:p>
    <w:p>
      <w:pPr>
        <w:pStyle w:val="BodyText"/>
      </w:pPr>
      <w:r>
        <w:rPr>
          <w:bCs/>
          <w:b/>
        </w:rPr>
        <w:t xml:space="preserve">Rastreabilidade de qualidade/técnica.</w:t>
      </w:r>
      <w:r>
        <w:t xml:space="preserve"> </w:t>
      </w:r>
      <w:r>
        <w:t xml:space="preserve">RNF: RNF-013, RNF-020, RNF-021, RNF34-A, RNF34-B; RT: RT-057</w:t>
      </w:r>
    </w:p>
    <w:bookmarkEnd w:id="25"/>
    <w:bookmarkStart w:id="26" w:name="governança-comum"/>
    <w:p>
      <w:pPr>
        <w:pStyle w:val="Heading2"/>
      </w:pPr>
      <w:r>
        <w:t xml:space="preserve">Governança comum</w:t>
      </w:r>
    </w:p>
    <w:p>
      <w:pPr>
        <w:pStyle w:val="FirstParagraph"/>
      </w:pPr>
      <w:r>
        <w:t xml:space="preserve">Os RF-051 a RF-056 não autorizam ativação probabilística em Produção. Otimização, dados IBGE e paralelismo somente podem integrar uma política real após regressões unitárias/integradas, avaliação estatística independente e aprovação institucional conforme a issue #31.</w:t>
      </w:r>
    </w:p>
    <w:bookmarkEnd w:id="26"/>
    <w:bookmarkEnd w:id="27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style w:default="1" w:styleId="Normal" w:type="paragraph">
    <w:name w:val="Normal"/>
  </w:style>
  <w:style w:styleId="Heading1" w:type="paragraph">
    <w:name w:val="heading 1"/>
    <w:basedOn w:val="Normal"/>
    <w:rPr>
      <w:b/>
      <w:sz w:val="32"/>
    </w:rPr>
  </w:style>
  <w:style w:styleId="Heading2" w:type="paragraph">
    <w:name w:val="heading 2"/>
    <w:basedOn w:val="Normal"/>
    <w:rPr>
      <w:b/>
      <w:sz w:val="28"/>
    </w:rPr>
  </w:style>
  <w:style w:styleId="Heading3" w:type="paragraph">
    <w:name w:val="heading 3"/>
    <w:basedOn w:val="Normal"/>
    <w:rPr>
      <w:b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2026-09-10T19:23:26Z</dcterms:created>
  <dcterms:modified xsi:type="dcterms:W3CDTF">2026-09-10T19:23:26Z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