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eb50487ee1b42641ae6447140955a9a6dbeaab5"/>
    <w:p>
      <w:pPr>
        <w:pStyle w:val="Heading1"/>
      </w:pPr>
      <w:r>
        <w:t xml:space="preserve">Requisitos Funcionais - Jornada do Cidadão - Fase 1 - Aditivo v1.1</w:t>
      </w:r>
    </w:p>
    <w:p>
      <w:pPr>
        <w:pStyle w:val="FirstParagraph"/>
      </w:pPr>
      <w:r>
        <w:rPr>
          <w:bCs/>
          <w:b/>
        </w:rPr>
        <w:t xml:space="preserve">Versão do aditivo:</w:t>
      </w:r>
      <w:r>
        <w:t xml:space="preserve"> </w:t>
      </w:r>
      <w:r>
        <w:t xml:space="preserve">1.1</w:t>
      </w:r>
      <w:r>
        <w:br/>
      </w:r>
      <w:r>
        <w:rPr>
          <w:bCs/>
          <w:b/>
        </w:rPr>
        <w:t xml:space="preserve">Data:</w:t>
      </w:r>
      <w:r>
        <w:t xml:space="preserve"> </w:t>
      </w:r>
      <w:r>
        <w:t xml:space="preserve">09/09/2026</w:t>
      </w:r>
      <w:r>
        <w:br/>
      </w:r>
      <w:r>
        <w:rPr>
          <w:bCs/>
          <w:b/>
        </w:rPr>
        <w:t xml:space="preserve">Base:</w:t>
      </w:r>
      <w:r>
        <w:t xml:space="preserve"> </w:t>
      </w:r>
      <w:r>
        <w:rPr>
          <w:rStyle w:val="VerbatimChar"/>
        </w:rPr>
        <w:t xml:space="preserve">02_Requisitos_Funcionais_Jornada_v1.0.md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VIGENTE - COMPLEMENTO NORMATIVO</w:t>
      </w:r>
    </w:p>
    <w:p>
      <w:pPr>
        <w:pStyle w:val="BodyText"/>
      </w:pPr>
      <w:r>
        <w:t xml:space="preserve">Este documento complementa, sem apagar nem renumerar, os 50 RFs do baseline v1.0. Os requisitos abaixo passam a integrar a definição funcional corrente da Fase 1 e devem ser lidos cumulativamente com o baseline. A numeração canônica desta consolidação é</w:t>
      </w:r>
      <w:r>
        <w:t xml:space="preserve"> </w:t>
      </w:r>
      <w:r>
        <w:rPr>
          <w:bCs/>
          <w:b/>
        </w:rPr>
        <w:t xml:space="preserve">RF-051 a RF-056</w:t>
      </w:r>
      <w:r>
        <w:t xml:space="preserve">; o antigo Adendo 06 foi reclassificado como histórico e não cria uma segunda numeração concorrente.</w:t>
      </w:r>
    </w:p>
    <w:bookmarkStart w:id="20" w:name="X6ac9192abf6bc177e2952c454dd88d3ff34dcd6"/>
    <w:p>
      <w:pPr>
        <w:pStyle w:val="Heading2"/>
      </w:pPr>
      <w:r>
        <w:t xml:space="preserve">RF-051 - Executar calibrador e avaliador com paralelismo quando vantajoso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calibrador e o avaliador devem explorar paralelismo sempre que a operação puder ser executada independentemente e houver evidência de ganho de desempenho no ambiente-alvo, sem alterar determinismo, reprodutibilidade, isolamento do corpus ou resultados estatísticos.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A execução paralela deve produzir resultado semanticamente equivalente à execução serial para a mesma versão de regras, corpus e semente/configuração. O grau de paralelismo deve ser limitado e configurável. Paralelismo que degrade desempenho, aumente contenção ou comprometa reprodutibilidade não deve ser habilitado por padrão. A decisão serial/paralela deve ser sustentada por benchmark reproduzível no ambiente-alvo ou equivalente.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RN-023, RN-024, RN-028, RN-035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RNF-015, RNF-020, RNF-021, RNF34-A, RNF34-B; RT: RT-057, RT-058</w:t>
      </w:r>
    </w:p>
    <w:bookmarkEnd w:id="20"/>
    <w:bookmarkStart w:id="21" w:name="Xda6c660c4b27a4ec0aecea41b5291662fd6862f"/>
    <w:p>
      <w:pPr>
        <w:pStyle w:val="Heading2"/>
      </w:pPr>
      <w:r>
        <w:t xml:space="preserve">RF-052 - Usar frequências agregadas oficiais do IBGE como evidência de blocking quando aplicável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mecanismo de otimização de blocking deve poder usar dados oficiais agregados do IBGE, versionados e com proveniência verificável, para melhorar discriminação/priorização de combinações de nome, prenome, sobrenome e último nome sempre que a fonte estiver disponível, tecnicamente compatível e demonstrar ganho mensurável sem reduzir recall além dos limites aprovados.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A ausência ou indisponibilidade do IBGE não pode tornar o Linkage incorreto: o sistema deve operar com fallback versionado. O uso do IBGE deve registrar versão/fingerprint da fonte e nunca tratá-la como verdade individual nem usar CPF da fonte externa. Sempre que uma frequência oficial aplicável estiver disponível, o otimizador deve considerá-la como evidência candidata e registrar se ela foi usada ou por que foi descartada.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RN-005, RN-014, RN-023, RN-024, RN-029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RNF-013, RNF-016, RNF-021, RNF-027, RNF34-A; RT: RT-027, RT-028, RT-029, RT-057</w:t>
      </w:r>
    </w:p>
    <w:bookmarkEnd w:id="21"/>
    <w:bookmarkStart w:id="22" w:name="Xf3d6d2f7eb64ca2baa9d1c980b0b07fb960a185"/>
    <w:p>
      <w:pPr>
        <w:pStyle w:val="Heading2"/>
      </w:pPr>
      <w:r>
        <w:t xml:space="preserve">RF-053 - Considerar componentes de nome e nascimento no blocking otimizado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 universo candidato deve permitir regras de blocking que considerem separadamente</w:t>
      </w:r>
      <w:r>
        <w:t xml:space="preserve"> </w:t>
      </w:r>
      <w:r>
        <w:rPr>
          <w:bCs/>
          <w:b/>
        </w:rPr>
        <w:t xml:space="preserve">nome completo, prenome, sobrenome, último nome</w:t>
      </w:r>
      <w:r>
        <w:t xml:space="preserve"> </w:t>
      </w:r>
      <w:r>
        <w:t xml:space="preserve">e os componentes</w:t>
      </w:r>
      <w:r>
        <w:t xml:space="preserve"> </w:t>
      </w:r>
      <w:r>
        <w:rPr>
          <w:bCs/>
          <w:b/>
        </w:rPr>
        <w:t xml:space="preserve">dia, mês e ano</w:t>
      </w:r>
      <w:r>
        <w:t xml:space="preserve"> </w:t>
      </w:r>
      <w:r>
        <w:t xml:space="preserve">da data de nascimento, inclusive combinações entre esses atributos. O otimizador de blocking deve avaliar as combinações candidatas e selecionar a melhor política segundo critérios versionados de recall, redução do espaço de pares, custo, tamanho de blocos, ganho incremental, dependência/redundância e risco de falso vínculo. Quando existirem frequências oficiais do IBGE aplicáveis aos componentes nominais, elas devem integrar a avaliação das combinações candidatas.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A política selecionada deve identificar explicitamente os atributos/passes utilizados, a versão do otimizador, o corpus/evidência, as métricas de comparação e o motivo da seleção. Nenhuma combinação pode ser escolhida apenas por correlação ou apenas por reduzir candidatos; recall de vínculos verdadeiros e risco de falso vínculo são gates obrigatórios.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RN-005, RN-006, RN-014, RN-023, RN-024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RNF-016, RNF-021, RNF-025, RNF-027, RNF34-A; RT: RT-027, RT-028, RT-029, RT-057</w:t>
      </w:r>
    </w:p>
    <w:bookmarkEnd w:id="22"/>
    <w:bookmarkStart w:id="23" w:name="X521e86af86b3ca7d70cff2d8f947e76732c269d"/>
    <w:p>
      <w:pPr>
        <w:pStyle w:val="Heading2"/>
      </w:pPr>
      <w:r>
        <w:t xml:space="preserve">RF-054 - Preservar a semântica oficial dos nomes do IBGE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Os dados de nomes e sobrenomes provenientes do IBGE devem preservar a grafia e a frequência oficiais publicadas. A preparação técnica pode aplicar somente transformações necessárias à comparação computacional, como tratamento versionado de caixa, espaços e acentuação, sem colapsar grafias distintas por regras fonéticas, duplicação de letras ou equivalências inventadas não presentes na fonte oficial.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O valor original e sua frequência oficial devem permanecer recuperáveis para auditoria. Toda representação técnica derivada deve registrar versão da transformação e permitir rastreamento até o valor original. Mudanças de normalização exigem nova versão e regressões antes de uso real.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RN-005, RN-014, RN-024, RN-029, RN-030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RNF-013, RNF-016, RNF-021, RNF-030, RNF34-A; RT: RT-029, RT-049, RT-057</w:t>
      </w:r>
    </w:p>
    <w:bookmarkEnd w:id="23"/>
    <w:bookmarkStart w:id="24" w:name="Xbf07568449d7883fca4b5cb575c066cf43d7b1e"/>
    <w:p>
      <w:pPr>
        <w:pStyle w:val="Heading2"/>
      </w:pPr>
      <w:r>
        <w:t xml:space="preserve">RF-055 - Reutilizar no avaliador a regra dinâmica versionada produzida pelo calibrador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Toda política dinâmica de blocking utilizada pelo calibrador deve ser materializada como artefato versionado e imutável de regras/configuração e o avaliador deve consumir exatamente essa mesma versão, sem reconstrução semântica independente.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O relatório de avaliação deve registrar o identificador/fingerprint da política recebida do calibrador e falhar fechado quando a política estiver ausente, incompatível ou divergente. Calibrador e avaliador executados sobre o mesmo corpus e política devem concordar sobre a elegibilidade de cada par candidato.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RN-003, RN-014, RN-024, RN-029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RNF-013, RNF-016, RNF-021, RNF34-A; RT: RT-027, RT-029, RT-057</w:t>
      </w:r>
    </w:p>
    <w:bookmarkEnd w:id="24"/>
    <w:bookmarkStart w:id="25" w:name="X7d82e834070b6ed18ba5f32895f34bbc7bc8489"/>
    <w:p>
      <w:pPr>
        <w:pStyle w:val="Heading2"/>
      </w:pPr>
      <w:r>
        <w:t xml:space="preserve">RF-056 - Evitar snapshots redundantes da base oficial do IBGE</w:t>
      </w:r>
    </w:p>
    <w:p>
      <w:pPr>
        <w:pStyle w:val="FirstParagraph"/>
      </w:pPr>
      <w:r>
        <w:rPr>
          <w:bCs/>
          <w:b/>
        </w:rPr>
        <w:t xml:space="preserve">Requisito funcional.</w:t>
      </w:r>
      <w:r>
        <w:t xml:space="preserve"> </w:t>
      </w:r>
      <w:r>
        <w:t xml:space="preserve">Antes de baixar e publicar um novo snapshot de dados oficiais do IBGE, o processo de aquisição deve verificar se a origem mudou.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deve ser usado como pré-verificação barata quando disponível, combinado preferencialmente com validadores HTTP como</w:t>
      </w:r>
      <w:r>
        <w:t xml:space="preserve"> </w:t>
      </w:r>
      <w:r>
        <w:rPr>
          <w:rStyle w:val="VerbatimChar"/>
        </w:rPr>
        <w:t xml:space="preserve">ETag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. Igualdade apenas do número de bytes não é evidência suficiente para declarar o conteúdo idêntico.</w:t>
      </w:r>
    </w:p>
    <w:p>
      <w:pPr>
        <w:pStyle w:val="BodyText"/>
      </w:pPr>
      <w:r>
        <w:rPr>
          <w:bCs/>
          <w:b/>
        </w:rPr>
        <w:t xml:space="preserve">Critério de aceitação funcional.</w:t>
      </w:r>
      <w:r>
        <w:t xml:space="preserve"> </w:t>
      </w:r>
      <w:r>
        <w:t xml:space="preserve">Quando validadores fortes ou combinação confiável de metadados provarem que a origem não mudou, o download deve ser evitado. Quando os metadados forem ausentes, inconclusivos ou divergentes, o conteúdo deve ser baixado para área temporária e comparado por SHA-256 com o snapshot vigente. Um novo snapshot imutável só pode ser publicado/versionado quando o fingerprint do conteúdo efetivamente mudar. A proveniência deve registrar URI, tamanho, validadores disponíveis, SHA-256 e instante de aquisição/verificação.</w:t>
      </w:r>
    </w:p>
    <w:p>
      <w:pPr>
        <w:pStyle w:val="BodyText"/>
      </w:pPr>
      <w:r>
        <w:rPr>
          <w:bCs/>
          <w:b/>
        </w:rPr>
        <w:t xml:space="preserve">Rastreabilidade de negócio.</w:t>
      </w:r>
      <w:r>
        <w:t xml:space="preserve"> </w:t>
      </w:r>
      <w:r>
        <w:t xml:space="preserve">RN-014, RN-023, RN-024, RN-029</w:t>
      </w:r>
    </w:p>
    <w:p>
      <w:pPr>
        <w:pStyle w:val="BodyText"/>
      </w:pPr>
      <w:r>
        <w:rPr>
          <w:bCs/>
          <w:b/>
        </w:rPr>
        <w:t xml:space="preserve">Rastreabilidade de qualidade/técnica.</w:t>
      </w:r>
      <w:r>
        <w:t xml:space="preserve"> </w:t>
      </w:r>
      <w:r>
        <w:t xml:space="preserve">RNF: RNF-013, RNF-020, RNF-021, RNF34-A, RNF34-B; RT: RT-057</w:t>
      </w:r>
    </w:p>
    <w:bookmarkEnd w:id="25"/>
    <w:bookmarkStart w:id="26" w:name="governança-comum"/>
    <w:p>
      <w:pPr>
        <w:pStyle w:val="Heading2"/>
      </w:pPr>
      <w:r>
        <w:t xml:space="preserve">Governança comum</w:t>
      </w:r>
    </w:p>
    <w:p>
      <w:pPr>
        <w:pStyle w:val="FirstParagraph"/>
      </w:pPr>
      <w:r>
        <w:t xml:space="preserve">Os RF-051 a RF-056 não autorizam ativação probabilística em Produção. Otimização, dados IBGE e paralelismo somente podem integrar uma política real após regressões unitárias/integradas, avaliação estatística independente e aprovação institucional conforme a issue #31.</w:t>
      </w:r>
    </w:p>
    <w:bookmarkEnd w:id="26"/>
    <w:bookmarkEnd w:id="27"/>
    <w:sectPr w:rsidR="00FC693F" w:rsidRPr="0006063C" w:rsidSect="00034616">
      <w:footerReference r:id="rId9" w:type="default"/>
      <w:pgSz w:h="16838" w:w="11906"/>
      <w:pgMar w:bottom="1020" w:footer="720" w:gutter="0" w:header="720" w:left="1020" w:right="1020" w:top="10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Página </w:t>
    </w:r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254" w:lineRule="auto"/>
    </w:pPr>
    <w:rPr>
      <w:rFonts w:ascii="Arial" w:eastAsia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  <w:rPr>
      <w:rFonts w:ascii="Arial" w:eastAsia="Arial" w:hAnsi="Arial"/>
      <w:sz w:val="17"/>
    </w:r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200"/>
      <w:outlineLvl w:val="0"/>
    </w:pPr>
    <w:rPr>
      <w:rFonts w:ascii="Arial" w:asciiTheme="majorHAnsi" w:cstheme="majorBidi" w:eastAsia="Arial" w:eastAsiaTheme="majorEastAsia" w:hAnsi="Arial" w:hAnsiTheme="majorHAnsi"/>
      <w:b/>
      <w:bCs/>
      <w:color w:themeColor="accent1" w:themeShade="BF" w:val="365F91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180"/>
      <w:outlineLvl w:val="1"/>
    </w:pPr>
    <w:rPr>
      <w:rFonts w:ascii="Arial" w:asciiTheme="majorHAnsi" w:cstheme="majorBidi" w:eastAsia="Arial" w:eastAsiaTheme="majorEastAsia" w:hAnsi="Arial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60" w:before="140"/>
      <w:outlineLvl w:val="2"/>
    </w:pPr>
    <w:rPr>
      <w:rFonts w:ascii="Arial" w:asciiTheme="majorHAnsi" w:cstheme="majorBidi" w:eastAsia="Arial" w:eastAsiaTheme="majorEastAsia" w:hAnsi="Arial" w:hAnsiTheme="majorHAnsi"/>
      <w:b/>
      <w:bCs/>
      <w:color w:themeColor="accent1" w:val="4F81BD"/>
      <w:sz w:val="23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Arial" w:asciiTheme="majorHAnsi" w:cstheme="majorBidi" w:eastAsia="Arial" w:eastAsiaTheme="majorEastAsia" w:hAnsi="Arial" w:hAnsiTheme="majorHAnsi"/>
      <w:b/>
      <w:bCs/>
      <w:i/>
      <w:iCs/>
      <w:color w:themeColor="accent1" w:val="4F81BD"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="Arial" w:asciiTheme="majorHAnsi" w:cstheme="majorBidi" w:eastAsia="Arial" w:eastAsiaTheme="majorEastAsia" w:hAnsi="Arial" w:hAnsiTheme="majorHAnsi"/>
      <w:b/>
      <w:color w:themeColor="text2" w:themeShade="BF" w:val="17365D"/>
      <w:spacing w:val="5"/>
      <w:kern w:val="28"/>
      <w:sz w:val="3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asciiTheme="majorHAnsi" w:cstheme="majorBidi" w:eastAsia="Arial" w:eastAsiaTheme="majorEastAsia" w:hAnsi="Arial" w:hAnsiTheme="majorHAnsi"/>
      <w:b w:val="0"/>
      <w:i/>
      <w:iCs/>
      <w:color w:themeColor="accent1" w:val="4F81BD"/>
      <w:spacing w:val="15"/>
      <w:sz w:val="2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2026-09-10T19:39:39Z</dcterms:created>
  <dcterms:modified xsi:type="dcterms:W3CDTF">2026-09-10T19:39:39Z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