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Arial"/>
        </w:rPr>
        <w:t>Matriz de Rastreabilidade - Aditivos RF/RNF v1.1</w:t>
      </w:r>
    </w:p>
    <w:p>
      <w:r>
        <w:rPr>
          <w:rFonts w:ascii="Arial" w:hAnsi="Arial" w:eastAsia="Arial"/>
          <w:b/>
        </w:rPr>
        <w:t>Data:</w:t>
      </w:r>
      <w:r>
        <w:rPr>
          <w:rFonts w:ascii="Arial" w:hAnsi="Arial" w:eastAsia="Arial"/>
        </w:rPr>
        <w:t xml:space="preserve"> 10/09/2026</w:t>
      </w:r>
    </w:p>
    <w:p>
      <w:r>
        <w:rPr>
          <w:rFonts w:ascii="Arial" w:hAnsi="Arial" w:eastAsia="Arial"/>
          <w:b/>
        </w:rPr>
        <w:t>Status:</w:t>
      </w:r>
      <w:r>
        <w:rPr>
          <w:rFonts w:ascii="Arial" w:hAnsi="Arial" w:eastAsia="Arial"/>
        </w:rPr>
        <w:t xml:space="preserve"> VIGENTE - COMPLEMENTO DA MATRIZ v1.0</w:t>
      </w:r>
    </w:p>
    <w:p>
      <w:r>
        <w:rPr>
          <w:rFonts w:ascii="Arial" w:hAnsi="Arial" w:eastAsia="Arial"/>
        </w:rPr>
        <w:t xml:space="preserve">Esta matriz complementa </w:t>
      </w:r>
      <w:r>
        <w:rPr>
          <w:rFonts w:ascii="Consolas" w:hAnsi="Consolas" w:eastAsia="Consolas"/>
        </w:rPr>
        <w:t>05_Matriz_Rastreabilidade_Requisitos_Jornada_v1.0.md</w:t>
      </w:r>
      <w:r>
        <w:rPr>
          <w:rFonts w:ascii="Arial" w:hAnsi="Arial" w:eastAsia="Arial"/>
        </w:rPr>
        <w:t xml:space="preserve"> sem alterar as cadeias históricas existentes. A consolidação v5.00 estabelece como numeração funcional canônica </w:t>
      </w:r>
      <w:r>
        <w:rPr>
          <w:rFonts w:ascii="Arial" w:hAnsi="Arial" w:eastAsia="Arial"/>
          <w:b/>
        </w:rPr>
        <w:t>RF-051 a RF-056</w:t>
      </w:r>
      <w:r>
        <w:rPr>
          <w:rFonts w:ascii="Arial" w:hAnsi="Arial" w:eastAsia="Arial"/>
        </w:rPr>
        <w:t xml:space="preserve"> e como aditivos não funcionais </w:t>
      </w:r>
      <w:r>
        <w:rPr>
          <w:rFonts w:ascii="Consolas" w:hAnsi="Consolas" w:eastAsia="Consolas"/>
        </w:rPr>
        <w:t>RNF34-A</w:t>
      </w:r>
      <w:r>
        <w:rPr>
          <w:rFonts w:ascii="Arial" w:hAnsi="Arial" w:eastAsia="Arial"/>
        </w:rPr>
        <w:t xml:space="preserve"> a </w:t>
      </w:r>
      <w:r>
        <w:rPr>
          <w:rFonts w:ascii="Consolas" w:hAnsi="Consolas" w:eastAsia="Consolas"/>
        </w:rPr>
        <w:t>RNF34-D</w:t>
      </w:r>
      <w:r>
        <w:rPr>
          <w:rFonts w:ascii="Arial" w:hAnsi="Arial" w:eastAsia="Arial"/>
        </w:rPr>
        <w:t>. O antigo Adendo 06 é histórico e não concorre com esta matriz.</w:t>
      </w:r>
    </w:p>
    <w:p>
      <w:r>
        <w:rPr>
          <w:rFonts w:ascii="Arial" w:hAnsi="Arial" w:eastAsia="Arial"/>
        </w:rPr>
        <w:t xml:space="preserve">Referências aos RNFs históricos usam a forma canônica </w:t>
      </w:r>
      <w:r>
        <w:rPr>
          <w:rFonts w:ascii="Consolas" w:hAnsi="Consolas" w:eastAsia="Consolas"/>
        </w:rPr>
        <w:t>RNF-001</w:t>
      </w:r>
      <w:r>
        <w:rPr>
          <w:rFonts w:ascii="Arial" w:hAnsi="Arial" w:eastAsia="Arial"/>
        </w:rPr>
        <w:t xml:space="preserve"> a </w:t>
      </w:r>
      <w:r>
        <w:rPr>
          <w:rFonts w:ascii="Consolas" w:hAnsi="Consolas" w:eastAsia="Consolas"/>
        </w:rPr>
        <w:t>RNF-033</w:t>
      </w:r>
      <w:r>
        <w:rPr>
          <w:rFonts w:ascii="Arial" w:hAnsi="Arial" w:eastAsia="Arial"/>
        </w:rPr>
        <w:t>.</w:t>
      </w:r>
    </w:p>
    <w:p>
      <w:pPr>
        <w:pStyle w:val="Heading2"/>
      </w:pPr>
      <w:r>
        <w:rPr>
          <w:rFonts w:ascii="Arial" w:hAnsi="Arial" w:eastAsia="Arial"/>
        </w:rPr>
        <w:t>Novos requisitos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34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RF</w:t>
            </w:r>
          </w:p>
        </w:tc>
        <w:tc>
          <w:tcPr>
            <w:tcW w:type="dxa" w:w="26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RN de origem</w:t>
            </w:r>
          </w:p>
        </w:tc>
        <w:tc>
          <w:tcPr>
            <w:tcW w:type="dxa" w:w="34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RNF associados</w:t>
            </w:r>
          </w:p>
        </w:tc>
        <w:tc>
          <w:tcPr>
            <w:tcW w:type="dxa" w:w="56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Realização/evidência principal</w:t>
            </w:r>
          </w:p>
        </w:tc>
      </w:tr>
      <w:tr>
        <w:tc>
          <w:tcPr>
            <w:tcW w:type="dxa" w:w="340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RF-051</w:t>
            </w:r>
            <w:r>
              <w:rPr>
                <w:rFonts w:ascii="Arial" w:hAnsi="Arial" w:eastAsia="Arial"/>
                <w:sz w:val="16"/>
              </w:rPr>
              <w:t xml:space="preserve"> Paralelismo no calibrador/avaliador quando vantajoso</w:t>
            </w:r>
          </w:p>
        </w:tc>
        <w:tc>
          <w:tcPr>
            <w:tcW w:type="dxa" w:w="266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RN-023, RN-024, RN-028, RN-035</w:t>
            </w:r>
          </w:p>
        </w:tc>
        <w:tc>
          <w:tcPr>
            <w:tcW w:type="dxa" w:w="345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RNF-015, RNF-020, RNF-021, RNF34-A, RNF34-B</w:t>
            </w:r>
          </w:p>
        </w:tc>
        <w:tc>
          <w:tcPr>
            <w:tcW w:type="dxa" w:w="5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Benchmark comparativo serial×paralelo; grau de paralelismo configurável; regressão de equivalência determinística; CI</w:t>
            </w:r>
          </w:p>
        </w:tc>
      </w:tr>
      <w:tr>
        <w:tc>
          <w:tcPr>
            <w:tcW w:type="dxa" w:w="340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RF-052</w:t>
            </w:r>
            <w:r>
              <w:rPr>
                <w:rFonts w:ascii="Arial" w:hAnsi="Arial" w:eastAsia="Arial"/>
                <w:sz w:val="16"/>
              </w:rPr>
              <w:t xml:space="preserve"> Uso governado de frequências agregadas oficiais do IBGE no blocking</w:t>
            </w:r>
          </w:p>
        </w:tc>
        <w:tc>
          <w:tcPr>
            <w:tcW w:type="dxa" w:w="266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RN-005, RN-014, RN-023, RN-024, RN-029</w:t>
            </w:r>
          </w:p>
        </w:tc>
        <w:tc>
          <w:tcPr>
            <w:tcW w:type="dxa" w:w="345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RNF-013, RNF-016, RNF-021, RNF-027, RNF34-A, RNF34-B</w:t>
            </w:r>
          </w:p>
        </w:tc>
        <w:tc>
          <w:tcPr>
            <w:tcW w:type="dxa" w:w="5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IbgeTypedNameFrequencyCatalog</w:t>
            </w:r>
            <w:r>
              <w:rPr>
                <w:rFonts w:ascii="Arial" w:hAnsi="Arial" w:eastAsia="Arial"/>
                <w:sz w:val="16"/>
              </w:rPr>
              <w:t>, snapshot/fingerprint IBGE, testes de proveniência e avaliação de ganho</w:t>
            </w:r>
          </w:p>
        </w:tc>
      </w:tr>
      <w:tr>
        <w:tc>
          <w:tcPr>
            <w:tcW w:type="dxa" w:w="340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RF-053</w:t>
            </w:r>
            <w:r>
              <w:rPr>
                <w:rFonts w:ascii="Arial" w:hAnsi="Arial" w:eastAsia="Arial"/>
                <w:sz w:val="16"/>
              </w:rPr>
              <w:t xml:space="preserve"> Nome completo, prenome, sobrenome, último nome e dia/mês/ano no blocking otimizado</w:t>
            </w:r>
          </w:p>
        </w:tc>
        <w:tc>
          <w:tcPr>
            <w:tcW w:type="dxa" w:w="266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RN-005, RN-006, RN-014, RN-023, RN-024</w:t>
            </w:r>
          </w:p>
        </w:tc>
        <w:tc>
          <w:tcPr>
            <w:tcW w:type="dxa" w:w="345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RNF-016, RNF-021, RNF-025, RNF-027, RNF34-A, RNF34-B</w:t>
            </w:r>
          </w:p>
        </w:tc>
        <w:tc>
          <w:tcPr>
            <w:tcW w:type="dxa" w:w="5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BirthBlockingPlan</w:t>
            </w:r>
            <w:r>
              <w:rPr>
                <w:rFonts w:ascii="Arial" w:hAnsi="Arial" w:eastAsia="Arial"/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BlockingFeatureDiagnostic</w:t>
            </w:r>
            <w:r>
              <w:rPr>
                <w:rFonts w:ascii="Arial" w:hAnsi="Arial" w:eastAsia="Arial"/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BlockingCombinationDiagnostic</w:t>
            </w:r>
            <w:r>
              <w:rPr>
                <w:rFonts w:ascii="Arial" w:hAnsi="Arial" w:eastAsia="Arial"/>
                <w:sz w:val="16"/>
              </w:rPr>
              <w:t>, frequências IBGE quando aplicáveis, política dinâmica versionada e avaliação independente</w:t>
            </w:r>
          </w:p>
        </w:tc>
      </w:tr>
      <w:tr>
        <w:tc>
          <w:tcPr>
            <w:tcW w:type="dxa" w:w="340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RF-054</w:t>
            </w:r>
            <w:r>
              <w:rPr>
                <w:rFonts w:ascii="Arial" w:hAnsi="Arial" w:eastAsia="Arial"/>
                <w:sz w:val="16"/>
              </w:rPr>
              <w:t xml:space="preserve"> Preservação da semântica oficial dos nomes do IBGE</w:t>
            </w:r>
          </w:p>
        </w:tc>
        <w:tc>
          <w:tcPr>
            <w:tcW w:type="dxa" w:w="266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RN-005, RN-014, RN-024, RN-029, RN-030</w:t>
            </w:r>
          </w:p>
        </w:tc>
        <w:tc>
          <w:tcPr>
            <w:tcW w:type="dxa" w:w="345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RNF-013, RNF-016, RNF-021, RNF-030, RNF34-A, RNF34-B</w:t>
            </w:r>
          </w:p>
        </w:tc>
        <w:tc>
          <w:tcPr>
            <w:tcW w:type="dxa" w:w="5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grafia/frequência oficial preservada; snapshot tipado por prenome/sobrenome e território; representação técnica versionada; regressões contra colapsos indevidos</w:t>
            </w:r>
          </w:p>
        </w:tc>
      </w:tr>
      <w:tr>
        <w:tc>
          <w:tcPr>
            <w:tcW w:type="dxa" w:w="340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RF-055</w:t>
            </w:r>
            <w:r>
              <w:rPr>
                <w:rFonts w:ascii="Arial" w:hAnsi="Arial" w:eastAsia="Arial"/>
                <w:sz w:val="16"/>
              </w:rPr>
              <w:t xml:space="preserve"> Mesma política dinâmica versionada no calibrador e avaliador</w:t>
            </w:r>
          </w:p>
        </w:tc>
        <w:tc>
          <w:tcPr>
            <w:tcW w:type="dxa" w:w="266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RN-003, RN-014, RN-024, RN-029</w:t>
            </w:r>
          </w:p>
        </w:tc>
        <w:tc>
          <w:tcPr>
            <w:tcW w:type="dxa" w:w="345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RNF-013, RNF-016, RNF-021, RNF34-A, RNF34-B</w:t>
            </w:r>
          </w:p>
        </w:tc>
        <w:tc>
          <w:tcPr>
            <w:tcW w:type="dxa" w:w="5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DynamicBlockingPolicy</w:t>
            </w:r>
            <w:r>
              <w:rPr>
                <w:rFonts w:ascii="Arial" w:hAnsi="Arial" w:eastAsia="Arial"/>
                <w:sz w:val="16"/>
              </w:rPr>
              <w:t>/ruleset persistido, fingerprint da política, relatório de avaliação e testes de equivalência entre superfícies/providers</w:t>
            </w:r>
          </w:p>
        </w:tc>
      </w:tr>
      <w:tr>
        <w:tc>
          <w:tcPr>
            <w:tcW w:type="dxa" w:w="340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RF-056</w:t>
            </w:r>
            <w:r>
              <w:rPr>
                <w:rFonts w:ascii="Arial" w:hAnsi="Arial" w:eastAsia="Arial"/>
                <w:sz w:val="16"/>
              </w:rPr>
              <w:t xml:space="preserve"> Evitar snapshots redundantes do IBGE</w:t>
            </w:r>
          </w:p>
        </w:tc>
        <w:tc>
          <w:tcPr>
            <w:tcW w:type="dxa" w:w="266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RN-014, RN-023, RN-024, RN-029</w:t>
            </w:r>
          </w:p>
        </w:tc>
        <w:tc>
          <w:tcPr>
            <w:tcW w:type="dxa" w:w="345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RNF-013, RNF-020, RNF-021, RNF34-A, RNF34-B</w:t>
            </w:r>
          </w:p>
        </w:tc>
        <w:tc>
          <w:tcPr>
            <w:tcW w:type="dxa" w:w="5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IbgeSnapshotChangeDetector</w:t>
            </w:r>
            <w:r>
              <w:rPr>
                <w:rFonts w:ascii="Arial" w:hAnsi="Arial" w:eastAsia="Arial"/>
                <w:sz w:val="16"/>
              </w:rPr>
              <w:t>; Content-Length/ETag/Last-Modified como pré-verificação; SHA-256 para metadados inconclusivos; testes de mesmo tamanho com conteúdo distinto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Aditivos não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30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RNF</w:t>
            </w:r>
          </w:p>
        </w:tc>
        <w:tc>
          <w:tcPr>
            <w:tcW w:type="dxa" w:w="391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Incidência</w:t>
            </w:r>
          </w:p>
        </w:tc>
        <w:tc>
          <w:tcPr>
            <w:tcW w:type="dxa" w:w="816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Evidência mínima</w:t>
            </w:r>
          </w:p>
        </w:tc>
      </w:tr>
      <w:tr>
        <w:tc>
          <w:tcPr>
            <w:tcW w:type="dxa" w:w="306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RNF12 (complemento)</w:t>
            </w:r>
            <w:r>
              <w:rPr>
                <w:rFonts w:ascii="Arial" w:hAnsi="Arial" w:eastAsia="Arial"/>
                <w:sz w:val="16"/>
              </w:rPr>
              <w:t xml:space="preserve"> Regressão unitária + integração</w:t>
            </w:r>
          </w:p>
        </w:tc>
        <w:tc>
          <w:tcPr>
            <w:tcW w:type="dxa" w:w="391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Toda mudança funcional/estatística/contratual aplicável</w:t>
            </w:r>
          </w:p>
        </w:tc>
        <w:tc>
          <w:tcPr>
            <w:tcW w:type="dxa" w:w="8163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Teste unitário e teste integrado do caminho alterado; exceção somente quando explicitamente justificada</w:t>
            </w:r>
          </w:p>
        </w:tc>
      </w:tr>
      <w:tr>
        <w:tc>
          <w:tcPr>
            <w:tcW w:type="dxa" w:w="306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RNF34-A</w:t>
            </w:r>
            <w:r>
              <w:rPr>
                <w:rFonts w:ascii="Arial" w:hAnsi="Arial" w:eastAsia="Arial"/>
                <w:sz w:val="16"/>
              </w:rPr>
              <w:t xml:space="preserve"> Documentação sincronizada</w:t>
            </w:r>
          </w:p>
        </w:tc>
        <w:tc>
          <w:tcPr>
            <w:tcW w:type="dxa" w:w="391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Todo change-set material</w:t>
            </w:r>
          </w:p>
        </w:tc>
        <w:tc>
          <w:tcPr>
            <w:tcW w:type="dxa" w:w="8163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Código + requisitos + README/runbook/especificação/arquitetura afetados no mesmo PR; ADR somente quando a política de histórico decisório o exigir</w:t>
            </w:r>
          </w:p>
        </w:tc>
      </w:tr>
      <w:tr>
        <w:tc>
          <w:tcPr>
            <w:tcW w:type="dxa" w:w="306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RNF34-B</w:t>
            </w:r>
            <w:r>
              <w:rPr>
                <w:rFonts w:ascii="Arial" w:hAnsi="Arial" w:eastAsia="Arial"/>
                <w:sz w:val="16"/>
              </w:rPr>
              <w:t xml:space="preserve"> CI obrigatório</w:t>
            </w:r>
          </w:p>
        </w:tc>
        <w:tc>
          <w:tcPr>
            <w:tcW w:type="dxa" w:w="391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Todo PR com mudança verificável</w:t>
            </w:r>
          </w:p>
        </w:tc>
        <w:tc>
          <w:tcPr>
            <w:tcW w:type="dxa" w:w="8163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Gates obrigatórios do HEAD exato concluídos com sucesso antes de Ready/merge</w:t>
            </w:r>
          </w:p>
        </w:tc>
      </w:tr>
      <w:tr>
        <w:tc>
          <w:tcPr>
            <w:tcW w:type="dxa" w:w="306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RNF34-C</w:t>
            </w:r>
            <w:r>
              <w:rPr>
                <w:rFonts w:ascii="Arial" w:hAnsi="Arial" w:eastAsia="Arial"/>
                <w:sz w:val="16"/>
              </w:rPr>
              <w:t xml:space="preserve"> Diagramas UML</w:t>
            </w:r>
          </w:p>
        </w:tc>
        <w:tc>
          <w:tcPr>
            <w:tcW w:type="dxa" w:w="391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Toda visão técnica/arquitetural normativa</w:t>
            </w:r>
          </w:p>
        </w:tc>
        <w:tc>
          <w:tcPr>
            <w:tcW w:type="dxa" w:w="8163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DOCX/PDF com diagramas UML incorporados; diagrama de classes para estrutura e de atividade para resolução de identidade; DER/DRE não classificado como UML; leitura sem software específico de modelagem</w:t>
            </w:r>
          </w:p>
        </w:tc>
      </w:tr>
      <w:tr>
        <w:tc>
          <w:tcPr>
            <w:tcW w:type="dxa" w:w="306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RNF34-D</w:t>
            </w:r>
            <w:r>
              <w:rPr>
                <w:rFonts w:ascii="Arial" w:hAnsi="Arial" w:eastAsia="Arial"/>
                <w:sz w:val="16"/>
              </w:rPr>
              <w:t xml:space="preserve"> Ambiente tecnológico reprodutível</w:t>
            </w:r>
          </w:p>
        </w:tc>
        <w:tc>
          <w:tcPr>
            <w:tcW w:type="dxa" w:w="391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Desenvolvimento, teste, integração, bancos e BI</w:t>
            </w:r>
          </w:p>
        </w:tc>
        <w:tc>
          <w:tcPr>
            <w:tcW w:type="dxa" w:w="8163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 xml:space="preserve">C#/.NET, Git, Docker e Power BI Desktop conforme aplicável; </w:t>
            </w:r>
            <w:r>
              <w:rPr>
                <w:rFonts w:ascii="Arial" w:hAnsi="Arial" w:eastAsia="Arial"/>
                <w:b/>
                <w:sz w:val="16"/>
              </w:rPr>
              <w:t>Microsoft SQL Server como tecnologia relacional normativa</w:t>
            </w:r>
            <w:r>
              <w:rPr>
                <w:rFonts w:ascii="Arial" w:hAnsi="Arial" w:eastAsia="Arial"/>
                <w:sz w:val="16"/>
              </w:rPr>
              <w:t>; PostgreSQL somente como provider paralelo em escopos explícitos; versões controladas/documentadas; CI reproduzível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Relação com a issue #31</w:t>
      </w:r>
    </w:p>
    <w:p>
      <w:r>
        <w:rPr>
          <w:rFonts w:ascii="Arial" w:hAnsi="Arial" w:eastAsia="Arial"/>
        </w:rPr>
        <w:t>Nenhum dos itens acima, isoladamente, encerra a homologação estatística. A ativação probabilística continua condicionada a corpus representativo/atestado, separação de calibração e avaliação, recall/precisão/calibração/falsos vínculos, análise de dependências e subgrupos e aprovação institucional explícita.</w:t>
      </w:r>
    </w:p>
    <w:sectPr w:rsidR="00FC693F" w:rsidRPr="0006063C" w:rsidSect="00034616">
      <w:footerReference w:type="default" r:id="rId9"/>
      <w:pgSz w:w="16838" w:h="11906" w:orient="landscape"/>
      <w:pgMar w:top="765" w:right="794" w:bottom="765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 w:eastAsia="Arial"/>
      <w:b w:val="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  <w:b w:val="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