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rPr>
          <w:rFonts w:ascii="Arial" w:hAnsi="Arial" w:eastAsia="Arial"/>
        </w:rPr>
        <w:t>Matriz de Rastreabilidade - Jornada do Cidadão - Fase 1 de Requisitos - Jornada do Cidadão - Fase 1</w:t>
      </w:r>
    </w:p>
    <w:p>
      <w:r>
        <w:rPr>
          <w:rFonts w:ascii="Arial" w:hAnsi="Arial" w:eastAsia="Arial"/>
          <w:b/>
        </w:rPr>
        <w:t>Versão do documento:</w:t>
      </w:r>
      <w:r>
        <w:rPr>
          <w:rFonts w:ascii="Arial" w:hAnsi="Arial" w:eastAsia="Arial"/>
        </w:rPr>
        <w:t xml:space="preserve"> 1.1</w:t>
      </w:r>
    </w:p>
    <w:p>
      <w:r>
        <w:rPr>
          <w:rFonts w:ascii="Arial" w:hAnsi="Arial" w:eastAsia="Arial"/>
          <w:b/>
        </w:rPr>
        <w:t>Data:</w:t>
      </w:r>
      <w:r>
        <w:rPr>
          <w:rFonts w:ascii="Arial" w:hAnsi="Arial" w:eastAsia="Arial"/>
        </w:rPr>
        <w:t xml:space="preserve"> 10/09/2026</w:t>
      </w:r>
    </w:p>
    <w:p>
      <w:r>
        <w:rPr>
          <w:rFonts w:ascii="Arial" w:hAnsi="Arial" w:eastAsia="Arial"/>
          <w:b/>
        </w:rPr>
        <w:t>Base normativa:</w:t>
      </w:r>
      <w:r>
        <w:rPr>
          <w:rFonts w:ascii="Arial" w:hAnsi="Arial" w:eastAsia="Arial"/>
        </w:rPr>
        <w:t xml:space="preserve"> Especificação Técnica Jornada v3.62</w:t>
      </w:r>
    </w:p>
    <w:p>
      <w:r>
        <w:rPr>
          <w:rFonts w:ascii="Arial" w:hAnsi="Arial" w:eastAsia="Arial"/>
          <w:b/>
        </w:rPr>
        <w:t>Estado de incorporação:</w:t>
      </w:r>
      <w:r>
        <w:rPr>
          <w:rFonts w:ascii="Arial" w:hAnsi="Arial" w:eastAsia="Arial"/>
        </w:rPr>
        <w:t xml:space="preserve"> candidato técnico à consolidação Solution Engenharia v5.00; release/tag ainda não cortada</w:t>
      </w:r>
    </w:p>
    <w:p>
      <w:r>
        <w:rPr>
          <w:rFonts w:ascii="Arial" w:hAnsi="Arial" w:eastAsia="Arial"/>
          <w:b/>
        </w:rPr>
        <w:t>Status:</w:t>
      </w:r>
      <w:r>
        <w:rPr>
          <w:rFonts w:ascii="Arial" w:hAnsi="Arial" w:eastAsia="Arial"/>
        </w:rPr>
        <w:t xml:space="preserve"> MATRIZ CONSOLIDADA E AUTOSSUFICIENTE DA FASE 1</w:t>
      </w:r>
    </w:p>
    <w:p>
      <w:r>
        <w:rPr>
          <w:rFonts w:ascii="Arial" w:hAnsi="Arial" w:eastAsia="Arial"/>
        </w:rPr>
        <w:t xml:space="preserve">&gt; </w:t>
      </w:r>
      <w:r>
        <w:rPr>
          <w:rFonts w:ascii="Arial" w:hAnsi="Arial" w:eastAsia="Arial"/>
          <w:b/>
        </w:rPr>
        <w:t>Leitura institucional.</w:t>
      </w:r>
      <w:r>
        <w:rPr>
          <w:rFonts w:ascii="Arial" w:hAnsi="Arial" w:eastAsia="Arial"/>
        </w:rPr>
        <w:t xml:space="preserve"> Esta matriz v1.1 contém a rastreabilidade histórica e os aditivos vigentes em um único artefato. A matriz v1.0 permanece somente como histórico e não precisa ser consultada em conjunto. Referências </w:t>
      </w:r>
      <w:r>
        <w:rPr>
          <w:rFonts w:ascii="Consolas" w:hAnsi="Consolas" w:eastAsia="Consolas"/>
        </w:rPr>
        <w:t>RNF01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RNF33</w:t>
      </w:r>
      <w:r>
        <w:rPr>
          <w:rFonts w:ascii="Arial" w:hAnsi="Arial" w:eastAsia="Arial"/>
        </w:rPr>
        <w:t xml:space="preserve"> foram normalizadas para </w:t>
      </w:r>
      <w:r>
        <w:rPr>
          <w:rFonts w:ascii="Consolas" w:hAnsi="Consolas" w:eastAsia="Consolas"/>
        </w:rPr>
        <w:t>RNF-001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RNF-033</w:t>
      </w:r>
      <w:r>
        <w:rPr>
          <w:rFonts w:ascii="Arial" w:hAnsi="Arial" w:eastAsia="Arial"/>
        </w:rPr>
        <w:t xml:space="preserve"> sem alteração de significado.</w:t>
      </w:r>
    </w:p>
    <w:p>
      <w:r>
        <w:rPr>
          <w:rFonts w:ascii="Arial" w:hAnsi="Arial" w:eastAsia="Arial"/>
        </w:rPr>
        <w:t>&gt; Esta matriz é o ponto único de rastreabilidade entre os quatro níveis de requisitos. As listas são intencionalmente de muitos-para-muitos; não significam que cada RT implemente isoladamente todo o RN.</w:t>
      </w:r>
    </w:p>
    <w:p>
      <w:pPr>
        <w:pStyle w:val="Heading2"/>
        <w:keepNext/>
      </w:pPr>
      <w:r>
        <w:rPr>
          <w:rFonts w:ascii="Arial" w:hAnsi="Arial" w:eastAsia="Arial"/>
        </w:rPr>
        <w:t>1. Matriz por Requisito de Negócio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  <w:cantSplit w:val="true"/>
        </w:trPr>
        <w:tc>
          <w:tcPr>
            <w:tcW w:type="dxa" w:w="13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RN</w:t>
            </w:r>
          </w:p>
        </w:tc>
        <w:tc>
          <w:tcPr>
            <w:tcW w:type="dxa" w:w="30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RF relacionados</w:t>
            </w:r>
          </w:p>
        </w:tc>
        <w:tc>
          <w:tcPr>
            <w:tcW w:type="dxa" w:w="30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RNF relacionados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RT relacionados</w:t>
            </w:r>
          </w:p>
        </w:tc>
        <w:tc>
          <w:tcPr>
            <w:tcW w:type="dxa" w:w="459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Evidência principal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RN-001</w:t>
            </w:r>
            <w:r>
              <w:rPr>
                <w:rFonts w:ascii="Arial" w:hAnsi="Arial" w:eastAsia="Arial"/>
                <w:sz w:val="14"/>
              </w:rPr>
              <w:t xml:space="preserve"> Consolidar a Jornada sem substituir os sistemas finalísticos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RNF-001, RNF-018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RT-001, RT-003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RN-002</w:t>
            </w:r>
            <w:r>
              <w:rPr>
                <w:rFonts w:ascii="Arial" w:hAnsi="Arial" w:eastAsia="Arial"/>
                <w:sz w:val="14"/>
              </w:rPr>
              <w:t xml:space="preserve"> Padronizar a integração municipal de Pessoas e fatos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RF-001, RF-002, RF-003, RF-004, RF-005, RF-009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RT-006, RT-007, RT-010, RT-011, RT-013, RT-018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RN-003</w:t>
            </w:r>
            <w:r>
              <w:rPr>
                <w:rFonts w:ascii="Arial" w:hAnsi="Arial" w:eastAsia="Arial"/>
                <w:sz w:val="14"/>
              </w:rPr>
              <w:t xml:space="preserve"> Preservar origem, temporalidade e linhagem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RF-001, RF-005, RF-006, RF-007, RF-008, RF-010, RF-024,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RNF-002, RNF-004, RNF-006, RNF-012, RNF-021, RNF-022, RNF-024, 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RT-002, RT-010, RT-011, RT-014, RT-015, RT-016, RT-017, RT-019, RT-020, RT-027, 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RN-004</w:t>
            </w:r>
            <w:r>
              <w:rPr>
                <w:rFonts w:ascii="Arial" w:hAnsi="Arial" w:eastAsia="Arial"/>
                <w:sz w:val="14"/>
              </w:rPr>
              <w:t xml:space="preserve"> Constituir a Gold de Pessoas de forma evolutiva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RN-005</w:t>
            </w:r>
            <w:r>
              <w:rPr>
                <w:rFonts w:ascii="Arial" w:hAnsi="Arial" w:eastAsia="Arial"/>
                <w:sz w:val="14"/>
              </w:rPr>
              <w:t xml:space="preserve"> Manter uma identificação municipal estável da Pessoa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RF-012, RF-013, RF-018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RNF-005, RNF-021, RNF-022, RNF-024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RT-023, RT-024, RT-027, RT-030, RT-036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RN-006</w:t>
            </w:r>
            <w:r>
              <w:rPr>
                <w:rFonts w:ascii="Arial" w:hAnsi="Arial" w:eastAsia="Arial"/>
                <w:sz w:val="14"/>
              </w:rPr>
              <w:t xml:space="preserve"> Usar CPF como rota determinística com trava conservadora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RF-013, RF-014, RF-016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RNF-005, RNF-023, RNF-025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RT-023, RT-024, RT-026, RT-028, RT-050, RT-056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RN-007</w:t>
            </w:r>
            <w:r>
              <w:rPr>
                <w:rFonts w:ascii="Arial" w:hAnsi="Arial" w:eastAsia="Arial"/>
                <w:sz w:val="14"/>
              </w:rPr>
              <w:t xml:space="preserve"> Não descartar Pessoas admitidas sem CPF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RF-015, RF-016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RT-025, RT-026, RT-056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RN-008</w:t>
            </w:r>
            <w:r>
              <w:rPr>
                <w:rFonts w:ascii="Arial" w:hAnsi="Arial" w:eastAsia="Arial"/>
                <w:sz w:val="14"/>
              </w:rPr>
              <w:t xml:space="preserve"> Separar núcleo de identidade de atributos transversais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RN-009</w:t>
            </w:r>
            <w:r>
              <w:rPr>
                <w:rFonts w:ascii="Arial" w:hAnsi="Arial" w:eastAsia="Arial"/>
                <w:sz w:val="14"/>
              </w:rPr>
              <w:t xml:space="preserve"> Promover valores Golden pela qualidade da evidência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RF-011, RF-020, RF-021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RT-032, 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RN-010</w:t>
            </w:r>
            <w:r>
              <w:rPr>
                <w:rFonts w:ascii="Arial" w:hAnsi="Arial" w:eastAsia="Arial"/>
                <w:sz w:val="14"/>
              </w:rPr>
              <w:t xml:space="preserve"> Permitir produção distribuída de evidência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RF-020, RF-021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RN-011</w:t>
            </w:r>
            <w:r>
              <w:rPr>
                <w:rFonts w:ascii="Arial" w:hAnsi="Arial" w:eastAsia="Arial"/>
                <w:sz w:val="14"/>
              </w:rPr>
              <w:t xml:space="preserve"> Separar fatos administrativos da Gold cadastral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RF-022, RF-027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RT-007, RT-031,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RN-012</w:t>
            </w:r>
            <w:r>
              <w:rPr>
                <w:rFonts w:ascii="Arial" w:hAnsi="Arial" w:eastAsia="Arial"/>
                <w:sz w:val="14"/>
              </w:rPr>
              <w:t xml:space="preserve"> Preservar fato válido mesmo sem atribuição canônica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RNF-006, 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RT-011, RT-020, RT-033,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RN-013</w:t>
            </w:r>
            <w:r>
              <w:rPr>
                <w:rFonts w:ascii="Arial" w:hAnsi="Arial" w:eastAsia="Arial"/>
                <w:sz w:val="14"/>
              </w:rPr>
              <w:t xml:space="preserve"> Distinguir Possibilidade de fato, direito e decisão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RF-026, RF-027, RF-037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RT-031,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RN-014</w:t>
            </w:r>
            <w:r>
              <w:rPr>
                <w:rFonts w:ascii="Arial" w:hAnsi="Arial" w:eastAsia="Arial"/>
                <w:sz w:val="14"/>
              </w:rPr>
              <w:t xml:space="preserve"> Versionar regras que alteram significado de negócio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RF-017, RF-026, RF-045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RNF-013, RNF-016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RT-005, RT-006, RT-007, RT-008, RT-029, RT-060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RN-015</w:t>
            </w:r>
            <w:r>
              <w:rPr>
                <w:rFonts w:ascii="Arial" w:hAnsi="Arial" w:eastAsia="Arial"/>
                <w:sz w:val="14"/>
              </w:rPr>
              <w:t xml:space="preserve"> Manter Referência Territorial separada de endereço civil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RT-041, RT-042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RN-016</w:t>
            </w:r>
            <w:r>
              <w:rPr>
                <w:rFonts w:ascii="Arial" w:hAnsi="Arial" w:eastAsia="Arial"/>
                <w:sz w:val="14"/>
              </w:rPr>
              <w:t xml:space="preserve"> Responsabilizar a origem pela territorialização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RF-031,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RT-042, 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RN-017</w:t>
            </w:r>
            <w:r>
              <w:rPr>
                <w:rFonts w:ascii="Arial" w:hAnsi="Arial" w:eastAsia="Arial"/>
                <w:sz w:val="14"/>
              </w:rPr>
              <w:t xml:space="preserve"> Aplicar precedência territorial explícita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RF-030,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RN-018</w:t>
            </w:r>
            <w:r>
              <w:rPr>
                <w:rFonts w:ascii="Arial" w:hAnsi="Arial" w:eastAsia="Arial"/>
                <w:sz w:val="14"/>
              </w:rPr>
              <w:t xml:space="preserve"> Disponibilizar consulta da Pessoa aos sistemas autorizados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RF-033, RF-034, RF-035, RF-036, RF-037, RF-040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RT-036, RT-037, RT-047, RT-048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RN-019</w:t>
            </w:r>
            <w:r>
              <w:rPr>
                <w:rFonts w:ascii="Arial" w:hAnsi="Arial" w:eastAsia="Arial"/>
                <w:sz w:val="14"/>
              </w:rPr>
              <w:t xml:space="preserve"> Adotar compartilhamento municipal padrão da Pessoa autorizada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RN-020</w:t>
            </w:r>
            <w:r>
              <w:rPr>
                <w:rFonts w:ascii="Arial" w:hAnsi="Arial" w:eastAsia="Arial"/>
                <w:sz w:val="14"/>
              </w:rPr>
              <w:t xml:space="preserve"> Permitir restrições setoriais como exceções negativas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RN-021</w:t>
            </w:r>
            <w:r>
              <w:rPr>
                <w:rFonts w:ascii="Arial" w:hAnsi="Arial" w:eastAsia="Arial"/>
                <w:sz w:val="14"/>
              </w:rPr>
              <w:t xml:space="preserve"> Proteger informação territorial especialmente sigilosa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RF-031, 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RT-042, RT-052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RN-022</w:t>
            </w:r>
            <w:r>
              <w:rPr>
                <w:rFonts w:ascii="Arial" w:hAnsi="Arial" w:eastAsia="Arial"/>
                <w:sz w:val="14"/>
              </w:rPr>
              <w:t xml:space="preserve"> Manter decisão e escrita cadastral no Gestor finalístico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RT-036, RT-037, RT-054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RN-023</w:t>
            </w:r>
            <w:r>
              <w:rPr>
                <w:rFonts w:ascii="Arial" w:hAnsi="Arial" w:eastAsia="Arial"/>
                <w:sz w:val="14"/>
              </w:rPr>
              <w:t xml:space="preserve"> Estabelecer controles de qualidade antes do consumo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RF-005, RF-007, RF-009, RF-010, RF-024, RF-025, RF-047,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RNF-003, RNF-004, RNF-006, RNF-007, RNF-009, RNF-012, RNF-015, RNF-020, RNF-023, RNF-026, RNF-027, RNF-028,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RT-012, RT-014, RT-015, RT-017, RT-018, RT-019, RT-020, RT-021, RT-022, RT-024, RT-026, RT-033, RT-046, RT-053, RT-054, RT-056, RT-057, RT-058, RT-059, RT-061,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RN-024</w:t>
            </w:r>
            <w:r>
              <w:rPr>
                <w:rFonts w:ascii="Arial" w:hAnsi="Arial" w:eastAsia="Arial"/>
                <w:sz w:val="14"/>
              </w:rPr>
              <w:t xml:space="preserve"> Evidenciar cobertura e incerteza nos indicadores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RF-010, RF-014, RF-015, RF-016, RF-017, RF-025, RF-028, RF-042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RNF-007, RNF-009, RNF-015, RNF-016, RNF-021, RNF-022, RNF-024, RNF-025, RNF-026, RNF-027, RNF-028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RT-019, RT-022, RT-025, RT-027, RT-028, RT-029, RT-046, RT-050, RT-053,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RN-025</w:t>
            </w:r>
            <w:r>
              <w:rPr>
                <w:rFonts w:ascii="Arial" w:hAnsi="Arial" w:eastAsia="Arial"/>
                <w:sz w:val="14"/>
              </w:rPr>
              <w:t xml:space="preserve"> Oferecer BI municipal sobre Pessoas, fatos, qualidade e território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RF-028, RF-041, RF-042, RF-044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RNF-010, RNF-011, RNF-013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RT-041, RT-043, RT-044, RT-045, RT-046, RT-047,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powerbi-static-gate; serving contracts; Anexo BI/SLA; evidência HML quando aplicável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RN-026</w:t>
            </w:r>
            <w:r>
              <w:rPr>
                <w:rFonts w:ascii="Arial" w:hAnsi="Arial" w:eastAsia="Arial"/>
                <w:sz w:val="14"/>
              </w:rPr>
              <w:t xml:space="preserve"> Manter consultas individualizadas fora do BI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RF-034, RF-036, RF-037, RF-043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RN-027</w:t>
            </w:r>
            <w:r>
              <w:rPr>
                <w:rFonts w:ascii="Arial" w:hAnsi="Arial" w:eastAsia="Arial"/>
                <w:sz w:val="14"/>
              </w:rPr>
              <w:t xml:space="preserve"> Medir tempestividade de recebimento por Tipo e versão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RF-044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RT-058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powerbi-static-gate; serving contracts; Anexo BI/SLA; evidência HML quando aplicável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RN-028</w:t>
            </w:r>
            <w:r>
              <w:rPr>
                <w:rFonts w:ascii="Arial" w:hAnsi="Arial" w:eastAsia="Arial"/>
                <w:sz w:val="14"/>
              </w:rPr>
              <w:t xml:space="preserve"> Suportar carga inicial sem degradar governança de identidade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RF-011, RF-016, RF-024,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RNF-015, RNF-023, RNF-026, RNF-027, RNF-028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RT-022, RT-026, RT-032, RT-056,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RN-029</w:t>
            </w:r>
            <w:r>
              <w:rPr>
                <w:rFonts w:ascii="Arial" w:hAnsi="Arial" w:eastAsia="Arial"/>
                <w:sz w:val="14"/>
              </w:rPr>
              <w:t xml:space="preserve"> Garantir rastreabilidade e auditoria de atos sensíveis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RF-002, RF-006, RF-007, RF-014, RF-017, RF-018, RF-020, RF-025, RF-038, RF-039, RF-040, RF-045, RF-046, RF-047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RNF-004, RNF-006, RNF-008, RNF-012, RNF-016, RNF-017, RNF-021, RNF-022, RNF-024, RNF-029, RNF-030, RNF-031, 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RT-005, RT-013, RT-014, RT-015, RT-016, RT-017, RT-020, RT-021, RT-027, RT-029, RT-030, RT-034, RT-035, RT-039, RT-040, RT-048, RT-049, RT-051, RT-054, RT-059, RT-060,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RN-030</w:t>
            </w:r>
            <w:r>
              <w:rPr>
                <w:rFonts w:ascii="Arial" w:hAnsi="Arial" w:eastAsia="Arial"/>
                <w:sz w:val="14"/>
              </w:rPr>
              <w:t xml:space="preserve"> Aplicar minimização e proteção de dados pessoais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RF-008, RF-035, RF-038, RF-039, RF-040, RF-042, RF-043, RF-046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RNF-003, RNF-005, RNF-008, RNF-011, RNF-017, RNF-029, RNF-030, RNF-031, RNF-032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RT-012, RT-016, RT-023, RT-039, RT-040, RT-045, RT-049, RT-050, RT-051, RT-052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RN-031</w:t>
            </w:r>
            <w:r>
              <w:rPr>
                <w:rFonts w:ascii="Arial" w:hAnsi="Arial" w:eastAsia="Arial"/>
                <w:sz w:val="14"/>
              </w:rPr>
              <w:t xml:space="preserve"> Definir governança de retenção antes da produção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RF-008, RF-046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RT-016, RT-017, RT-051,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RN-032</w:t>
            </w:r>
            <w:r>
              <w:rPr>
                <w:rFonts w:ascii="Arial" w:hAnsi="Arial" w:eastAsia="Arial"/>
                <w:sz w:val="14"/>
              </w:rPr>
              <w:t xml:space="preserve"> Exigir avaliação de impacto antes da produção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RN-033</w:t>
            </w:r>
            <w:r>
              <w:rPr>
                <w:rFonts w:ascii="Arial" w:hAnsi="Arial" w:eastAsia="Arial"/>
                <w:sz w:val="14"/>
              </w:rPr>
              <w:t xml:space="preserve"> Formalizar responsabilidades institucionais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RF-047,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RNF-009, RNF-011, RNF-012, RNF-017, RNF-019, RNF-020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RT-005, RT-009, RT-045, RT-048, RT-053, RT-055, RT-058, RT-059, RT-060, RT-061,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RN-034</w:t>
            </w:r>
            <w:r>
              <w:rPr>
                <w:rFonts w:ascii="Arial" w:hAnsi="Arial" w:eastAsia="Arial"/>
                <w:sz w:val="14"/>
              </w:rPr>
              <w:t xml:space="preserve"> Manter interlocução técnica e qualidade por Gestor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RF-002, RF-044, RF-049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RT-006, RT-009, RT-013, RT-055,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RN-035</w:t>
            </w:r>
            <w:r>
              <w:rPr>
                <w:rFonts w:ascii="Arial" w:hAnsi="Arial" w:eastAsia="Arial"/>
                <w:sz w:val="14"/>
              </w:rPr>
              <w:t xml:space="preserve"> Permitir expansão a novos Gestores e Tipos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RF-009, RF-041, RF-045, RF-049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RNF-001, RNF-002, RNF-010, RNF-012, RNF-013, RNF-015, RNF-018, RNF-019, RNF-027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RT-001, RT-002, RT-003, RT-006, RT-007, RT-008, RT-009, RT-018, RT-021, RT-044,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RN-036</w:t>
            </w:r>
            <w:r>
              <w:rPr>
                <w:rFonts w:ascii="Arial" w:hAnsi="Arial" w:eastAsia="Arial"/>
                <w:sz w:val="14"/>
              </w:rPr>
              <w:t xml:space="preserve"> Manter biometria como evolução e não como núcleo cadastral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RF-050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RT-065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2. Cobertura por RF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RT de realização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RN-003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RN-029, RN-034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RT-013, RT-048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RN-014, RN-023,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RT-006, RT-007, RT-008, RT-013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RT-010, RT-011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RN-003, RN-023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RNF-021, RNF-022, RNF-024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RT-010, RT-014, RT-019, RT-027, 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RT-015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RN-030, RN-031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RNF-032, RNF-033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RT-016, RT-017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RN-023,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RT-018, RT-021, RT-022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RN-004, RN-009,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RT-023, RT-030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RN-006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RN-006,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RT-024, RT-030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RN-007,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RT-025, RT-026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RN-006, RN-007, RN-024,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RNF-023, RNF-025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RT-026, RT-028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RNF-016, RNF-021, RNF-022, RNF-024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RT-027, RT-029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RT-023, RT-034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RN-009, RN-010,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RN-009, RN-010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RT-031, RT-033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RNF-006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RT-020, RT-032, RT-033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RT-019, RT-046, RT-064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RN-013, RN-014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RT-038, RT-064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RN-011, RN-013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RN-024, RN-025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RN-015, RN-016, RN-021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RT-041, 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RN-015, RN-017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RT-041, 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RN-016, RN-021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RN-016, RN-017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RN-019, RN-020, RN-021,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RN-013, 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RN-019, RN-020, RN-021,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RT-037, RT-048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RNF-030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RNF-029, RNF-031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RN-025,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RN-024, RN-025,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RNF-010, RNF-011,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RT-044, RT-045, RT-046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RN-026,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RN-027, RN-025, RN-034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RNF-020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RN-029,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RT-005, RT-006, RT-007, RT-008, RT-029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RN-031,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RT-017, RT-051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RN-029, RN-033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RT-053, RT-054, RT-061, RT-062, RT-063, RT-064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RN-028, RN-033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RT-022, RT-055, RT-056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RN-034,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RNF-001, RNF-010, RNF-013, RNF-018, RNF-019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RT-001, RT-003, RT-006, RT-007, RT-008, RT-009, 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RF-050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RT-065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3. Cobertura por RNF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</w:t>
            </w:r>
          </w:p>
        </w:tc>
        <w:tc>
          <w:tcPr>
            <w:tcW w:type="dxa" w:w="39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 afetados</w:t>
            </w:r>
          </w:p>
        </w:tc>
        <w:tc>
          <w:tcPr>
            <w:tcW w:type="dxa" w:w="84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RT de realização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RF-001, RF-003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RT-015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RF-012, RF-019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RF-024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RF-029, RF-031, RF-032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RF-041, RF-042, 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RF-042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RT-045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RT-002, RT-059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RF-003, RF-041, RF-042, RF-045, 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RT-008, 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RF-022, RF-026, RF-027, RF-036, RF-037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RT-031, 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RF-017, RF-045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RF-044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RF-015, RF-016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RF-033, RF-034, RF-035, RF-038, RF-040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RT-040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RF-040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RF-008, RF-046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RT-017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4. Cobertura e regras de manutenção</w:t>
      </w:r>
    </w:p>
    <w:p>
      <w:pPr>
        <w:pStyle w:val="ListBullet"/>
      </w:pPr>
      <w:r>
        <w:rPr>
          <w:rFonts w:ascii="Arial" w:hAnsi="Arial" w:eastAsia="Arial"/>
          <w:sz w:val="16"/>
        </w:rPr>
        <w:t>Todos os 36 RN devem aparecer na Seção 1.</w:t>
      </w:r>
    </w:p>
    <w:p>
      <w:pPr>
        <w:pStyle w:val="ListBullet"/>
      </w:pPr>
      <w:r>
        <w:rPr>
          <w:rFonts w:ascii="Arial" w:hAnsi="Arial" w:eastAsia="Arial"/>
          <w:sz w:val="16"/>
        </w:rPr>
        <w:t>Todos os 50 RF devem aparecer na Seção 2.</w:t>
      </w:r>
    </w:p>
    <w:p>
      <w:pPr>
        <w:pStyle w:val="ListBullet"/>
      </w:pPr>
      <w:r>
        <w:rPr>
          <w:rFonts w:ascii="Arial" w:hAnsi="Arial" w:eastAsia="Arial"/>
          <w:sz w:val="16"/>
        </w:rPr>
        <w:t>Todos os 33 RNF normativos devem aparecer na Seção 3.</w:t>
      </w:r>
    </w:p>
    <w:p>
      <w:pPr>
        <w:pStyle w:val="ListBullet"/>
      </w:pPr>
      <w:r>
        <w:rPr>
          <w:rFonts w:ascii="Arial" w:hAnsi="Arial" w:eastAsia="Arial"/>
          <w:sz w:val="16"/>
        </w:rPr>
        <w:t>Todos os 65 RT devem estar referenciados por pelo menos um RN/RF/RNF ou ser explicitamente classificados como infraestrutura transversal.</w:t>
      </w:r>
    </w:p>
    <w:p>
      <w:pPr>
        <w:pStyle w:val="ListBullet"/>
      </w:pPr>
      <w:r>
        <w:rPr>
          <w:rFonts w:ascii="Arial" w:hAnsi="Arial" w:eastAsia="Arial"/>
          <w:sz w:val="16"/>
        </w:rPr>
        <w:t>Mudança material em qualquer camada exige revisão desta matriz e das evidências correspondentes.</w:t>
      </w:r>
    </w:p>
    <w:p>
      <w:pPr>
        <w:pStyle w:val="Heading2"/>
        <w:keepNext/>
      </w:pPr>
      <w:r>
        <w:rPr>
          <w:rFonts w:ascii="Arial" w:hAnsi="Arial" w:eastAsia="Arial"/>
        </w:rPr>
        <w:t>5. Controle de versão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Versão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Data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Síntese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Incorporação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03/09/2026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Matriz inicial RN -&gt; RF -&gt; RNF -&gt; RT -&gt; evidência da Fase 1.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Solution Engenharia v3.98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Incorporações da versão 1.1</w:t>
      </w:r>
    </w:p>
    <w:p>
      <w:pPr>
        <w:pStyle w:val="Heading2"/>
        <w:keepNext/>
      </w:pPr>
      <w:r>
        <w:rPr>
          <w:rFonts w:ascii="Arial" w:hAnsi="Arial" w:eastAsia="Arial"/>
        </w:rPr>
        <w:t>Novos requisitos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Realização/evidência principal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RF-051</w:t>
            </w:r>
            <w:r>
              <w:rPr>
                <w:rFonts w:ascii="Arial" w:hAnsi="Arial" w:eastAsia="Arial"/>
                <w:sz w:val="15"/>
              </w:rPr>
              <w:t xml:space="preserve"> Paralelismo no calibrador/avaliador quando vantajoso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RN-024, RN-028,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RNF-015, RNF-020,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Benchmark comparativo serial×paralelo; grau de paralelismo configurável; regressão de equivalência determinística; CI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RF-052</w:t>
            </w:r>
            <w:r>
              <w:rPr>
                <w:rFonts w:ascii="Arial" w:hAnsi="Arial" w:eastAsia="Arial"/>
                <w:sz w:val="15"/>
              </w:rPr>
              <w:t xml:space="preserve"> Uso governado de frequências agregadas oficiais do IBGE no blocking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RN-014, 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RNF-027,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IbgeTypedNameFrequencyCatalog</w:t>
            </w:r>
            <w:r>
              <w:rPr>
                <w:rFonts w:ascii="Arial" w:hAnsi="Arial" w:eastAsia="Arial"/>
                <w:sz w:val="15"/>
              </w:rPr>
              <w:t>, snapshot/fingerprint IBGE, testes de proveniência e avaliação de ganho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RF-053</w:t>
            </w:r>
            <w:r>
              <w:rPr>
                <w:rFonts w:ascii="Arial" w:hAnsi="Arial" w:eastAsia="Arial"/>
                <w:sz w:val="15"/>
              </w:rPr>
              <w:t xml:space="preserve"> Nome completo, prenome, sobrenome, último nome e dia/mês/ano no blocking otimizado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RN-006, RN-014, RN-023,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RNF-016, RNF-021, RNF-025, RNF-027,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BirthBlockingPlan</w:t>
            </w:r>
            <w:r>
              <w:rPr>
                <w:rFonts w:ascii="Arial" w:hAnsi="Arial" w:eastAsia="Arial"/>
                <w:sz w:val="15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BlockingFeatureDiagnostic</w:t>
            </w:r>
            <w:r>
              <w:rPr>
                <w:rFonts w:ascii="Arial" w:hAnsi="Arial" w:eastAsia="Arial"/>
                <w:sz w:val="15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BlockingCombinationDiagnostic</w:t>
            </w:r>
            <w:r>
              <w:rPr>
                <w:rFonts w:ascii="Arial" w:hAnsi="Arial" w:eastAsia="Arial"/>
                <w:sz w:val="15"/>
              </w:rPr>
              <w:t>, frequências IBGE quando aplicáveis, política dinâmica versionada e avaliação independente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RF-054</w:t>
            </w:r>
            <w:r>
              <w:rPr>
                <w:rFonts w:ascii="Arial" w:hAnsi="Arial" w:eastAsia="Arial"/>
                <w:sz w:val="15"/>
              </w:rPr>
              <w:t xml:space="preserve"> Preservação da semântica oficial dos nomes do IBGE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RN-014, RN-024,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RNF-030,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grafia/frequência oficial preservada; snapshot tipado por prenome/sobrenome e território; representação técnica versionada; regressões contra colapsos indevidos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RF-055</w:t>
            </w:r>
            <w:r>
              <w:rPr>
                <w:rFonts w:ascii="Arial" w:hAnsi="Arial" w:eastAsia="Arial"/>
                <w:sz w:val="15"/>
              </w:rPr>
              <w:t xml:space="preserve"> Mesma política dinâmica versionada no calibrador e avaliador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RN-014,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DynamicBlockingPolicy</w:t>
            </w:r>
            <w:r>
              <w:rPr>
                <w:rFonts w:ascii="Arial" w:hAnsi="Arial" w:eastAsia="Arial"/>
                <w:sz w:val="15"/>
              </w:rPr>
              <w:t>/ruleset persistido, fingerprint da política, relatório de avaliação e testes de equivalência entre superfícies/providers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RF-056</w:t>
            </w:r>
            <w:r>
              <w:rPr>
                <w:rFonts w:ascii="Arial" w:hAnsi="Arial" w:eastAsia="Arial"/>
                <w:sz w:val="15"/>
              </w:rPr>
              <w:t xml:space="preserve"> Evitar snapshots redundantes do IBGE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RNF-020,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IbgeSnapshotChangeDetector</w:t>
            </w:r>
            <w:r>
              <w:rPr>
                <w:rFonts w:ascii="Arial" w:hAnsi="Arial" w:eastAsia="Arial"/>
                <w:sz w:val="15"/>
              </w:rPr>
              <w:t>; Content-Length/ETag/Last-Modified como pré-verificação; SHA-256 para metadados inconclusivos; testes de mesmo tamanho com conteúdo distinto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Aditivos não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</w:t>
            </w:r>
          </w:p>
        </w:tc>
        <w:tc>
          <w:tcPr>
            <w:tcW w:type="dxa" w:w="39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Incidência</w:t>
            </w:r>
          </w:p>
        </w:tc>
        <w:tc>
          <w:tcPr>
            <w:tcW w:type="dxa" w:w="84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Evidência mínima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RNF-012 (complemento)</w:t>
            </w:r>
            <w:r>
              <w:rPr>
                <w:rFonts w:ascii="Arial" w:hAnsi="Arial" w:eastAsia="Arial"/>
                <w:sz w:val="15"/>
              </w:rPr>
              <w:t xml:space="preserve"> Regressão unitária + integração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Toda mudança funcional/estatística/contratual aplicável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Teste unitário e teste integrado do caminho alterado; exceção somente quando explicitamente justificada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RNF34-A</w:t>
            </w:r>
            <w:r>
              <w:rPr>
                <w:rFonts w:ascii="Arial" w:hAnsi="Arial" w:eastAsia="Arial"/>
                <w:sz w:val="15"/>
              </w:rPr>
              <w:t xml:space="preserve"> Documentação sincronizada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Todo change-set material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Código + requisitos + README/runbook/especificação/arquitetura afetados no mesmo PR; ADR somente quando a política de histórico decisório o exigir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RNF34-B</w:t>
            </w:r>
            <w:r>
              <w:rPr>
                <w:rFonts w:ascii="Arial" w:hAnsi="Arial" w:eastAsia="Arial"/>
                <w:sz w:val="15"/>
              </w:rPr>
              <w:t xml:space="preserve"> CI obrigatório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Todo PR com mudança verificável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Gates obrigatórios do HEAD exato concluídos com sucesso antes de Ready/merge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RNF34-C</w:t>
            </w:r>
            <w:r>
              <w:rPr>
                <w:rFonts w:ascii="Arial" w:hAnsi="Arial" w:eastAsia="Arial"/>
                <w:sz w:val="15"/>
              </w:rPr>
              <w:t xml:space="preserve"> Diagramas UML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Toda visão técnica/arquitetural normativa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DOCX/PDF com diagramas UML incorporados; diagrama de classes para estrutura e de atividade para resolução de identidade; DER/DRE não classificado como UML; leitura sem software específico de modelagem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RNF34-D</w:t>
            </w:r>
            <w:r>
              <w:rPr>
                <w:rFonts w:ascii="Arial" w:hAnsi="Arial" w:eastAsia="Arial"/>
                <w:sz w:val="15"/>
              </w:rPr>
              <w:t xml:space="preserve"> Ambiente tecnológico reprodutível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Desenvolvimento, teste, integração, bancos e BI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 xml:space="preserve">C#/.NET, Git, Docker e Power BI Desktop conforme aplicável; </w:t>
            </w:r>
            <w:r>
              <w:rPr>
                <w:rFonts w:ascii="Arial" w:hAnsi="Arial" w:eastAsia="Arial"/>
                <w:b/>
                <w:sz w:val="15"/>
              </w:rPr>
              <w:t>Microsoft SQL Server como tecnologia relacional normativa</w:t>
            </w:r>
            <w:r>
              <w:rPr>
                <w:rFonts w:ascii="Arial" w:hAnsi="Arial" w:eastAsia="Arial"/>
                <w:sz w:val="15"/>
              </w:rPr>
              <w:t>; PostgreSQL somente como provider paralelo em escopos explícitos; versões controladas/documentadas; CI reproduzível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Relação com a issue #31</w:t>
      </w:r>
    </w:p>
    <w:p>
      <w:r>
        <w:rPr>
          <w:rFonts w:ascii="Arial" w:hAnsi="Arial" w:eastAsia="Arial"/>
        </w:rPr>
        <w:t>Nenhum dos itens acima, isoladamente, encerra a homologação estatística. A ativação probabilística continua condicionada a corpus representativo/atestado, separação de calibração e avaliação, recall/precisão/calibração/falsos vínculos, análise de dependências e subgrupos e aprovação institucional explícita.</w:t>
      </w:r>
    </w:p>
    <w:sectPr w:rsidR="00FC693F" w:rsidRPr="0006063C" w:rsidSect="00034616">
      <w:footerReference w:type="default" r:id="rId9"/>
      <w:pgSz w:w="16838" w:h="11906" w:orient="landscape"/>
      <w:pgMar w:top="709" w:right="794" w:bottom="709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b w:val="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b w:val="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