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4069B13" w:rsidP="61C9ED91" w:rsidRDefault="44069B13" w14:paraId="054CD000" w14:textId="2604CAA3">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r w:rsidRPr="61C9ED91" w:rsidR="44069B13">
        <w:rPr>
          <w:rFonts w:ascii="Times New Roman" w:hAnsi="Times New Roman" w:eastAsia="Times New Roman" w:cs="Times New Roman"/>
          <w:b w:val="0"/>
          <w:bCs w:val="0"/>
          <w:i w:val="0"/>
          <w:iCs w:val="0"/>
          <w:caps w:val="0"/>
          <w:smallCaps w:val="0"/>
          <w:noProof w:val="0"/>
          <w:sz w:val="24"/>
          <w:szCs w:val="24"/>
          <w:lang w:val="en-US"/>
        </w:rPr>
        <w:t>Data from the manuscript “When dates disagree: radiocarbon and sighting-based models reveal unexpected range-wide variability in Great Auk (</w:t>
      </w:r>
      <w:r w:rsidRPr="61C9ED91" w:rsidR="44069B13">
        <w:rPr>
          <w:rFonts w:ascii="Times New Roman" w:hAnsi="Times New Roman" w:eastAsia="Times New Roman" w:cs="Times New Roman"/>
          <w:b w:val="0"/>
          <w:bCs w:val="0"/>
          <w:i w:val="1"/>
          <w:iCs w:val="1"/>
          <w:caps w:val="0"/>
          <w:smallCaps w:val="0"/>
          <w:noProof w:val="0"/>
          <w:sz w:val="24"/>
          <w:szCs w:val="24"/>
          <w:lang w:val="en-US"/>
        </w:rPr>
        <w:t>Pinguinus impennis</w:t>
      </w:r>
      <w:r w:rsidRPr="61C9ED91" w:rsidR="44069B13">
        <w:rPr>
          <w:rFonts w:ascii="Times New Roman" w:hAnsi="Times New Roman" w:eastAsia="Times New Roman" w:cs="Times New Roman"/>
          <w:b w:val="0"/>
          <w:bCs w:val="0"/>
          <w:i w:val="0"/>
          <w:iCs w:val="0"/>
          <w:caps w:val="0"/>
          <w:smallCaps w:val="0"/>
          <w:noProof w:val="0"/>
          <w:sz w:val="24"/>
          <w:szCs w:val="24"/>
          <w:lang w:val="en-US"/>
        </w:rPr>
        <w:t>) persistence” in Biology Letters, by Lucia Snyderman, Dr. Kevin Burgio, Dr. Arthur Anderson, Olivia Olson, Prof. Samuel Turvey, and Dr. Alexis Mychajliw.</w:t>
      </w:r>
    </w:p>
    <w:p w:rsidR="61C9ED91" w:rsidP="61C9ED91" w:rsidRDefault="61C9ED91" w14:paraId="7028CF1D" w14:textId="67DF9F1E">
      <w:pPr>
        <w:spacing w:line="240" w:lineRule="auto"/>
        <w:rPr>
          <w:rFonts w:ascii="Times New Roman" w:hAnsi="Times New Roman" w:eastAsia="Times New Roman" w:cs="Times New Roman" w:asciiTheme="minorAscii" w:hAnsiTheme="minorAscii" w:eastAsiaTheme="minorAscii" w:cstheme="minorAscii"/>
          <w:color w:val="auto"/>
          <w:sz w:val="24"/>
          <w:szCs w:val="24"/>
          <w:u w:val="single"/>
        </w:rPr>
      </w:pPr>
    </w:p>
    <w:p xmlns:wp14="http://schemas.microsoft.com/office/word/2010/wordml" w:rsidP="43F8191E" wp14:paraId="2C078E63" wp14:textId="42A059E1">
      <w:pPr>
        <w:spacing w:line="240" w:lineRule="auto"/>
        <w:rPr>
          <w:rFonts w:ascii="Times New Roman" w:hAnsi="Times New Roman" w:eastAsia="Times New Roman" w:cs="Times New Roman" w:asciiTheme="minorAscii" w:hAnsiTheme="minorAscii" w:eastAsiaTheme="minorAscii" w:cstheme="minorAscii"/>
          <w:color w:val="auto"/>
          <w:sz w:val="24"/>
          <w:szCs w:val="24"/>
          <w:u w:val="single"/>
        </w:rPr>
      </w:pPr>
      <w:r w:rsidRPr="43F8191E" w:rsidR="27D3E1F5">
        <w:rPr>
          <w:rFonts w:ascii="Times New Roman" w:hAnsi="Times New Roman" w:eastAsia="Times New Roman" w:cs="Times New Roman" w:asciiTheme="minorAscii" w:hAnsiTheme="minorAscii" w:eastAsiaTheme="minorAscii" w:cstheme="minorAscii"/>
          <w:color w:val="auto"/>
          <w:sz w:val="24"/>
          <w:szCs w:val="24"/>
          <w:u w:val="single"/>
        </w:rPr>
        <w:t>Methods in detail</w:t>
      </w:r>
    </w:p>
    <w:p w:rsidR="0F40B04A" w:rsidP="43F8191E" w:rsidRDefault="0F40B04A" w14:paraId="24691DCD" w14:textId="26A13BDD">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 Radiocarbon database curation</w:t>
      </w:r>
    </w:p>
    <w:p w:rsidR="387C484B" w:rsidP="43F8191E" w:rsidRDefault="387C484B" w14:paraId="2A80BD95" w14:textId="1F1975F6">
      <w:pPr>
        <w:spacing w:line="24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en"/>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compiled a comprehensive dataset of 143 Great Auk radiocarbon dates from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previous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studies, including 134 associated dates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mainly generated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on terrestrial material, particularly charcoal) and nine dates generated directly from Great Auk bones (see </w:t>
      </w:r>
      <w:r w:rsidRPr="61C9ED91" w:rsidR="7CB89483">
        <w:rPr>
          <w:rFonts w:ascii="Times New Roman" w:hAnsi="Times New Roman" w:eastAsia="Times New Roman" w:cs="Times New Roman" w:asciiTheme="minorAscii" w:hAnsiTheme="minorAscii" w:eastAsiaTheme="minorAscii" w:cstheme="minorAscii"/>
          <w:noProof w:val="0"/>
          <w:color w:val="auto"/>
          <w:sz w:val="24"/>
          <w:szCs w:val="24"/>
          <w:lang w:val="en-US"/>
        </w:rPr>
        <w:t>“Radiocarbon Dataset.xlsx”</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An associated date is a radiocarbon date on material in the same stratum of a shell midden that also has Great Auk bones, and so the</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y </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roughly correspo</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nd</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the same age.</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Sources included the Canadian Archaeological Radiocarbon Database (CARD) [</w:t>
      </w:r>
      <w:r w:rsidRPr="61C9ED91" w:rsidR="3C5C984A">
        <w:rPr>
          <w:rFonts w:ascii="Times New Roman" w:hAnsi="Times New Roman" w:eastAsia="Times New Roman" w:cs="Times New Roman" w:asciiTheme="minorAscii" w:hAnsiTheme="minorAscii" w:eastAsiaTheme="minorAscii" w:cstheme="minorAscii"/>
          <w:noProof w:val="0"/>
          <w:color w:val="auto"/>
          <w:sz w:val="24"/>
          <w:szCs w:val="24"/>
          <w:lang w:val="en-US"/>
        </w:rPr>
        <w:t>1</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the Paleobiology Database (PBDB)</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4C0F9BED">
        <w:rPr>
          <w:rFonts w:ascii="Times New Roman" w:hAnsi="Times New Roman" w:eastAsia="Times New Roman" w:cs="Times New Roman" w:asciiTheme="minorAscii" w:hAnsiTheme="minorAscii" w:eastAsiaTheme="minorAscii" w:cstheme="minorAscii"/>
          <w:noProof w:val="0"/>
          <w:color w:val="auto"/>
          <w:sz w:val="24"/>
          <w:szCs w:val="24"/>
          <w:lang w:val="en-US"/>
        </w:rPr>
        <w:t>2</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and original archaeological reports. We developed a standardized quality ranking system [</w:t>
      </w:r>
      <w:r w:rsidRPr="61C9ED91" w:rsidR="52353D6A">
        <w:rPr>
          <w:rFonts w:ascii="Times New Roman" w:hAnsi="Times New Roman" w:eastAsia="Times New Roman" w:cs="Times New Roman" w:asciiTheme="minorAscii" w:hAnsiTheme="minorAscii" w:eastAsiaTheme="minorAscii" w:cstheme="minorAscii"/>
          <w:noProof w:val="0"/>
          <w:color w:val="auto"/>
          <w:sz w:val="24"/>
          <w:szCs w:val="24"/>
          <w:lang w:val="en-US"/>
        </w:rPr>
        <w:t>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17A3807B">
        <w:rPr>
          <w:rFonts w:ascii="Times New Roman" w:hAnsi="Times New Roman" w:eastAsia="Times New Roman" w:cs="Times New Roman" w:asciiTheme="minorAscii" w:hAnsiTheme="minorAscii" w:eastAsiaTheme="minorAscii" w:cstheme="minorAscii"/>
          <w:noProof w:val="0"/>
          <w:color w:val="auto"/>
          <w:sz w:val="24"/>
          <w:szCs w:val="24"/>
          <w:lang w:val="en-US"/>
        </w:rPr>
        <w:t>4</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that accounts for differences in stratigraphic control and sampled material. We assigned quality scores to all dates based on associative strength, reliability of dated material, and dating method (accelerator mass spectrometry (AMS) or radiometric), ranging from three (lowest score) to 13 (highest score) (Table 1).</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For example, an AMS date on great auk bone collagen scored 13, </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wh</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ereas</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standard date on plant material from a weak cultural period association scored three.</w:t>
      </w:r>
      <w:r w:rsidRPr="61C9ED91" w:rsidR="0B469C38">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r w:rsidRPr="61C9ED91" w:rsidR="0B469C38">
        <w:rPr>
          <w:rFonts w:ascii="Times New Roman" w:hAnsi="Times New Roman" w:eastAsia="Times New Roman" w:cs="Times New Roman" w:asciiTheme="minorAscii" w:hAnsiTheme="minorAscii" w:eastAsiaTheme="minorAscii" w:cstheme="minorAscii"/>
          <w:noProof w:val="0"/>
          <w:color w:val="auto"/>
          <w:sz w:val="24"/>
          <w:szCs w:val="24"/>
          <w:lang w:val="en"/>
        </w:rPr>
        <w:t>For the state of Maine population specifically, we compiled 61 associated (60) and direct (1) radiocarbon dates on material from across nine Maine archaeological shell middens. These dates span the Archaic and Ceramic/Woodland Periods, and the majority are from charcoal samples, but also include shells, soil, and bone. We excluded dates from sites in which there was known stratigraphic mixing of material.</w:t>
      </w:r>
    </w:p>
    <w:p w:rsidR="387C484B" w:rsidP="61C9ED91" w:rsidRDefault="387C484B" w14:paraId="24684F4A" w14:textId="07DE2ACD">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We accounted for variability in abundance of dated material associated with Great Auk per site by thinning our dataset to avoid oversampling [</w:t>
      </w:r>
      <w:r w:rsidRPr="61C9ED91" w:rsidR="70BD5DCA">
        <w:rPr>
          <w:rFonts w:ascii="Times New Roman" w:hAnsi="Times New Roman" w:eastAsia="Times New Roman" w:cs="Times New Roman" w:asciiTheme="minorAscii" w:hAnsiTheme="minorAscii" w:eastAsiaTheme="minorAscii" w:cstheme="minorAscii"/>
          <w:noProof w:val="0"/>
          <w:color w:val="auto"/>
          <w:sz w:val="24"/>
          <w:szCs w:val="24"/>
          <w:lang w:val="en-US"/>
        </w:rPr>
        <w:t>5</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3968697E">
        <w:rPr>
          <w:rFonts w:ascii="Times New Roman" w:hAnsi="Times New Roman" w:eastAsia="Times New Roman" w:cs="Times New Roman" w:asciiTheme="minorAscii" w:hAnsiTheme="minorAscii" w:eastAsiaTheme="minorAscii" w:cstheme="minorAscii"/>
          <w:noProof w:val="0"/>
          <w:color w:val="auto"/>
          <w:sz w:val="24"/>
          <w:szCs w:val="24"/>
          <w:lang w:val="en-US"/>
        </w:rPr>
        <w:t>6</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BEED5DD">
        <w:rPr>
          <w:rFonts w:ascii="Times New Roman" w:hAnsi="Times New Roman" w:eastAsia="Times New Roman" w:cs="Times New Roman" w:asciiTheme="minorAscii" w:hAnsiTheme="minorAscii" w:eastAsiaTheme="minorAscii" w:cstheme="minorAscii"/>
          <w:noProof w:val="0"/>
          <w:color w:val="auto"/>
          <w:sz w:val="24"/>
          <w:szCs w:val="24"/>
          <w:lang w:val="en-US"/>
        </w:rPr>
        <w:t>7</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since at thoroughly excavated sites the number of associated dates was not equivalent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to the number of Great Auk specimens per stratum</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instance, Great Auk occurs throughout three different strata at the Turner Farm site in </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Mai</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ne, and</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is</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associated with a wide span of radiocarbon dates on marine and terrestrial material.</w:t>
      </w:r>
      <w:r w:rsidRPr="61C9ED91" w:rsidR="328137F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In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OxC</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al</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v.</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4.4 [</w:t>
      </w:r>
      <w:r w:rsidRPr="61C9ED91" w:rsidR="4F82BABA">
        <w:rPr>
          <w:rFonts w:ascii="Times New Roman" w:hAnsi="Times New Roman" w:eastAsia="Times New Roman" w:cs="Times New Roman" w:asciiTheme="minorAscii" w:hAnsiTheme="minorAscii" w:eastAsiaTheme="minorAscii" w:cstheme="minorAscii"/>
          <w:noProof w:val="0"/>
          <w:color w:val="auto"/>
          <w:sz w:val="24"/>
          <w:szCs w:val="24"/>
          <w:lang w:val="en-US"/>
        </w:rPr>
        <w:t>8</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modeled each stratum’s boundary start and end dates by calibrating terrestrial and marine dates separately. We used the “Combine” function to average dates if there were fewer than three dates per stratum. For the eight sites with the largest numbers of dates, we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omitted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loos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ely-associated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dat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es (e.g., material only dated to same cultural period), combined dates with the “Combine” function, and estimated phase boundaries [</w:t>
      </w:r>
      <w:r w:rsidRPr="61C9ED91" w:rsidR="658679E2">
        <w:rPr>
          <w:rFonts w:ascii="Times New Roman" w:hAnsi="Times New Roman" w:eastAsia="Times New Roman" w:cs="Times New Roman" w:asciiTheme="minorAscii" w:hAnsiTheme="minorAscii" w:eastAsiaTheme="minorAscii" w:cstheme="minorAscii"/>
          <w:noProof w:val="0"/>
          <w:color w:val="auto"/>
          <w:sz w:val="24"/>
          <w:szCs w:val="24"/>
          <w:lang w:val="en-US"/>
        </w:rPr>
        <w:t>9</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(see </w:t>
      </w:r>
      <w:r w:rsidRPr="61C9ED91" w:rsidR="2F469014">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F469014">
        <w:rPr>
          <w:rFonts w:ascii="Times New Roman" w:hAnsi="Times New Roman" w:eastAsia="Times New Roman" w:cs="Times New Roman" w:asciiTheme="minorAscii" w:hAnsiTheme="minorAscii" w:eastAsiaTheme="minorAscii" w:cstheme="minorAscii"/>
          <w:noProof w:val="0"/>
          <w:color w:val="auto"/>
          <w:sz w:val="24"/>
          <w:szCs w:val="24"/>
          <w:lang w:val="en-US"/>
        </w:rPr>
        <w:t>OxCal</w:t>
      </w:r>
      <w:r w:rsidRPr="61C9ED91" w:rsidR="2F46901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Thinning Code.docx</w:t>
      </w:r>
      <w:r w:rsidRPr="61C9ED91" w:rsidR="6FA83E9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We calibrated terrestrial dates using the IntCal20 calibration curve with a probability of 95.4% [</w:t>
      </w:r>
      <w:r w:rsidRPr="61C9ED91" w:rsidR="272F9016">
        <w:rPr>
          <w:rFonts w:ascii="Times New Roman" w:hAnsi="Times New Roman" w:eastAsia="Times New Roman" w:cs="Times New Roman" w:asciiTheme="minorAscii" w:hAnsiTheme="minorAscii" w:eastAsiaTheme="minorAscii" w:cstheme="minorAscii"/>
          <w:noProof w:val="0"/>
          <w:color w:val="auto"/>
          <w:sz w:val="24"/>
          <w:szCs w:val="24"/>
          <w:lang w:val="en-US"/>
        </w:rPr>
        <w:t>10</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We applied the Marine20 calibration curve and local reservoir corrections [</w:t>
      </w:r>
      <w:r w:rsidRPr="61C9ED91" w:rsidR="527A188F">
        <w:rPr>
          <w:rFonts w:ascii="Times New Roman" w:hAnsi="Times New Roman" w:eastAsia="Times New Roman" w:cs="Times New Roman" w:asciiTheme="minorAscii" w:hAnsiTheme="minorAscii" w:eastAsiaTheme="minorAscii" w:cstheme="minorAscii"/>
          <w:noProof w:val="0"/>
          <w:color w:val="auto"/>
          <w:sz w:val="24"/>
          <w:szCs w:val="24"/>
          <w:lang w:val="en-US"/>
        </w:rPr>
        <w:t>11</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calibrate marine dates by compiling latitude and longitude coordinates from the literature or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GE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O</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Locate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v</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3.22 [</w:t>
      </w:r>
      <w:r w:rsidRPr="61C9ED91" w:rsidR="7EDA5D06">
        <w:rPr>
          <w:rFonts w:ascii="Times New Roman" w:hAnsi="Times New Roman" w:eastAsia="Times New Roman" w:cs="Times New Roman" w:asciiTheme="minorAscii" w:hAnsiTheme="minorAscii" w:eastAsiaTheme="minorAscii" w:cstheme="minorAscii"/>
          <w:noProof w:val="0"/>
          <w:color w:val="auto"/>
          <w:sz w:val="24"/>
          <w:szCs w:val="24"/>
          <w:lang w:val="en-US"/>
        </w:rPr>
        <w:t>12</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timated Weighted Mean ΔR and Uncertainty using the ten nearest coordinates. </w:t>
      </w:r>
      <w:r w:rsidRPr="61C9ED91" w:rsidR="2600F80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example, a </w:t>
      </w:r>
      <w:hyperlink r:id="Rb3f77fe6623f4175">
        <w:r w:rsidRPr="61C9ED91" w:rsidR="2600F801">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Δ</w:t>
        </w:r>
      </w:hyperlink>
      <w:r w:rsidRPr="61C9ED91" w:rsidR="2600F80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 of -72 and ±61 corresponded to Casco Bay, Maine.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resulted in a final radiocarbon dataset of 79 thinned dates from 28 sites across the species’ Holocene range (Northwest Atlantic: 74 total, 45 thinned; Maine: 59 total, 34 thinned; Northeast Atlantic: 69 total, 34 thinned) (Figure </w:t>
      </w:r>
      <w:r w:rsidRPr="61C9ED91" w:rsidR="276E872E">
        <w:rPr>
          <w:rFonts w:ascii="Times New Roman" w:hAnsi="Times New Roman" w:eastAsia="Times New Roman" w:cs="Times New Roman" w:asciiTheme="minorAscii" w:hAnsiTheme="minorAscii" w:eastAsiaTheme="minorAscii" w:cstheme="minorAscii"/>
          <w:strike w:val="0"/>
          <w:dstrike w:val="0"/>
          <w:noProof w:val="0"/>
          <w:color w:val="auto"/>
          <w:sz w:val="24"/>
          <w:szCs w:val="24"/>
          <w:u w:val="single"/>
          <w:lang w:val="en-US"/>
        </w:rPr>
        <w:t>2</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All direct Great Auk radiocarbon dates were from the Northeast Atlantic, so further investigation of regional population persistence based upon these high-quality data was not possible.</w:t>
      </w:r>
    </w:p>
    <w:p w:rsidR="61C9ED91" w:rsidP="61C9ED91" w:rsidRDefault="61C9ED91" w14:paraId="4CC14D38" w14:textId="54E65779">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2A82F441" w:rsidP="43F8191E" w:rsidRDefault="2A82F441" w14:paraId="28A8AD6F" w14:textId="32ECBC03">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See below for specific details on how we pruned the radiocarbon dates for each site: </w:t>
      </w:r>
    </w:p>
    <w:p w:rsidR="2A82F441" w:rsidP="43F8191E" w:rsidRDefault="2A82F441" w14:paraId="41BD8D16" w14:textId="618D283F">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413074F8" w14:textId="47645007">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Turner Farm, Maine</w:t>
      </w:r>
    </w:p>
    <w:p w:rsidR="2A82F441" w:rsidP="43F8191E" w:rsidRDefault="2A82F441" w14:paraId="3A7A63D1" w14:textId="36970D2E">
      <w:pPr>
        <w:spacing w:line="24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Turner Farm site presented challenges as there are three different strata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representing</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Great Auk occurrence with a widespread span of radiocarbon dates, both marine and terrestrial </w:t>
      </w:r>
      <w:r w:rsidRPr="61C9ED91" w:rsidR="72844217">
        <w:rPr>
          <w:rFonts w:ascii="Times New Roman" w:hAnsi="Times New Roman" w:eastAsia="Times New Roman" w:cs="Times New Roman" w:asciiTheme="minorAscii" w:hAnsiTheme="minorAscii" w:eastAsiaTheme="minorAscii" w:cstheme="minorAscii"/>
          <w:noProof w:val="0"/>
          <w:color w:val="auto"/>
          <w:sz w:val="24"/>
          <w:szCs w:val="24"/>
          <w:lang w:val="en-US"/>
        </w:rPr>
        <w:t>[13]</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In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OxCal</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modeled the boundary start and end dates of each phase or stratum by inputting and calibrating the terrestrial and marine dates separately. If there were less than three dates in a phase, we used the Combine function to average the dates. For instance, Stratum 4 includes six terrestrial dates which were calibrated and modeled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whereas</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two other marine dates were calibrated and combined.</w:t>
      </w:r>
    </w:p>
    <w:p w:rsidR="2A82F441" w:rsidP="43F8191E" w:rsidRDefault="2A82F441" w14:paraId="69494427" w14:textId="4437E692">
      <w:pPr>
        <w:spacing w:line="240" w:lineRule="auto"/>
        <w:ind w:firstLine="720"/>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06D95A9E" w14:textId="69E1933B">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t>Køtedalen, Norway</w:t>
      </w:r>
    </w:p>
    <w:p w:rsidR="2A82F441" w:rsidP="43F8191E" w:rsidRDefault="2A82F441" w14:paraId="43B05012" w14:textId="51B0ED06">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Starting with Phase 2, all five radiocarbon dates are terrestrial and so we calibrated and modeled the phase start and end dates. Phases 12, 13, 14, and 15 similarly consisted of only terrestrial dates and so the same procedure was followed. </w:t>
      </w:r>
    </w:p>
    <w:p w:rsidR="2A82F441" w:rsidP="43F8191E" w:rsidRDefault="2A82F441" w14:paraId="47610A3B" w14:textId="4690DC19">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3FE31EA4" w14:textId="2B2C800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t>Tofts Ness, Scotland</w:t>
      </w:r>
    </w:p>
    <w:p w:rsidR="2A82F441" w:rsidP="43F8191E" w:rsidRDefault="2A82F441" w14:paraId="01431D29" w14:textId="7B8F3B8E">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site has three phases with a total of nine dates </w:t>
      </w:r>
      <w:r w:rsidRPr="61C9ED91" w:rsidR="6E460004">
        <w:rPr>
          <w:rFonts w:ascii="Times New Roman" w:hAnsi="Times New Roman" w:eastAsia="Times New Roman" w:cs="Times New Roman" w:asciiTheme="minorAscii" w:hAnsiTheme="minorAscii" w:eastAsiaTheme="minorAscii" w:cstheme="minorAscii"/>
          <w:noProof w:val="0"/>
          <w:color w:val="auto"/>
          <w:sz w:val="24"/>
          <w:szCs w:val="24"/>
          <w:lang w:val="en-US"/>
        </w:rPr>
        <w:t>[14]</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Because there are only two, three, or four dates in a phase, we combined the dates in each phase. All the dates are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terrestrial</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so there is one combined date per phase. </w:t>
      </w:r>
    </w:p>
    <w:p w:rsidR="2A82F441" w:rsidP="43F8191E" w:rsidRDefault="2A82F441" w14:paraId="03028927" w14:textId="734499A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1DDC3CFC" w14:textId="4FC7130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Goddard, Maine</w:t>
      </w:r>
    </w:p>
    <w:p w:rsidR="2A82F441" w:rsidP="43F8191E" w:rsidRDefault="2A82F441" w14:paraId="296D22E5" w14:textId="6426C4E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Because Great Auk is not found throughout the occupations of this site and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rather directly</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co-occurs with specific features </w:t>
      </w:r>
      <w:r w:rsidRPr="61C9ED91" w:rsidR="1DFFABFC">
        <w:rPr>
          <w:rFonts w:ascii="Times New Roman" w:hAnsi="Times New Roman" w:eastAsia="Times New Roman" w:cs="Times New Roman" w:asciiTheme="minorAscii" w:hAnsiTheme="minorAscii" w:eastAsiaTheme="minorAscii" w:cstheme="minorAscii"/>
          <w:noProof w:val="0"/>
          <w:color w:val="auto"/>
          <w:sz w:val="24"/>
          <w:szCs w:val="24"/>
          <w:lang w:val="en-US"/>
        </w:rPr>
        <w:t>[15]</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kept the eight directly associated dates unmodeled. </w:t>
      </w:r>
    </w:p>
    <w:p w:rsidR="61C9ED91" w:rsidP="61C9ED91" w:rsidRDefault="61C9ED91" w14:paraId="5EA870FC" w14:textId="03E72F97">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2A82F441" w:rsidP="43F8191E" w:rsidRDefault="2A82F441" w14:paraId="390BF945" w14:textId="7EE25938">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Great Diamond Island, Maine</w:t>
      </w:r>
    </w:p>
    <w:p w:rsidR="2A82F441" w:rsidP="43F8191E" w:rsidRDefault="2A82F441" w14:paraId="38D7AEFA" w14:textId="157B79A8">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Great Auk is associated with certain areas and strata at this site, but not specific features </w:t>
      </w:r>
      <w:r w:rsidRPr="61C9ED91" w:rsidR="5D4EE20B">
        <w:rPr>
          <w:rFonts w:ascii="Times New Roman" w:hAnsi="Times New Roman" w:eastAsia="Times New Roman" w:cs="Times New Roman" w:asciiTheme="minorAscii" w:hAnsiTheme="minorAscii" w:eastAsiaTheme="minorAscii" w:cstheme="minorAscii"/>
          <w:noProof w:val="0"/>
          <w:color w:val="auto"/>
          <w:sz w:val="24"/>
          <w:szCs w:val="24"/>
          <w:lang w:val="en-US"/>
        </w:rPr>
        <w:t>[16]</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Three terrestrial dates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represent</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three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different features</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that are all within Area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B,</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Stratum III, but one of the dates is much earlier than the others. The two dates closer in time to each other were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combined</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the other date was kept separate. In Area C, Great Auk is represented by two different strata, and, as one date is terrestrial and the other is marine, we kept them separate. </w:t>
      </w:r>
    </w:p>
    <w:p w:rsidR="2A82F441" w:rsidP="43F8191E" w:rsidRDefault="2A82F441" w14:paraId="60991E0E" w14:textId="5C3970EF">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0FC6EE2B" w14:textId="6F43D143">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Frisby Butler, Massachusetts</w:t>
      </w:r>
    </w:p>
    <w:p w:rsidR="2A82F441" w:rsidP="43F8191E" w:rsidRDefault="2A82F441" w14:paraId="0700B720" w14:textId="1A49817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Three terrestrial dates belong to Stratum 2 </w:t>
      </w:r>
      <w:r w:rsidRPr="61C9ED91" w:rsidR="634DBB23">
        <w:rPr>
          <w:rFonts w:ascii="Times New Roman" w:hAnsi="Times New Roman" w:eastAsia="Times New Roman" w:cs="Times New Roman" w:asciiTheme="minorAscii" w:hAnsiTheme="minorAscii" w:eastAsiaTheme="minorAscii" w:cstheme="minorAscii"/>
          <w:noProof w:val="0"/>
          <w:color w:val="auto"/>
          <w:sz w:val="24"/>
          <w:szCs w:val="24"/>
          <w:lang w:val="en-US"/>
        </w:rPr>
        <w:t>[17]</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were combined in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OxCal</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and one date was left out because it was four hundred years older than the others. One marine date was also kept separate. For Stratum 3, the two terrestrial dates were combined.</w:t>
      </w:r>
    </w:p>
    <w:p w:rsidR="2A82F441" w:rsidP="43F8191E" w:rsidRDefault="2A82F441" w14:paraId="68A0D7B5" w14:textId="5BC2929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51275475" w14:textId="569949F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Sejerø Island, Denmark</w:t>
      </w:r>
    </w:p>
    <w:p w:rsidR="2A82F441" w:rsidP="61C9ED91" w:rsidRDefault="2A82F441" w14:paraId="08512631" w14:textId="340A628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No specific stratum information was given for this site. Instead, Great Auk is associated with material found in certain excavations </w:t>
      </w:r>
      <w:r w:rsidRPr="61C9ED91" w:rsidR="3865B34A">
        <w:rPr>
          <w:rFonts w:ascii="Times New Roman" w:hAnsi="Times New Roman" w:eastAsia="Times New Roman" w:cs="Times New Roman" w:asciiTheme="minorAscii" w:hAnsiTheme="minorAscii" w:eastAsiaTheme="minorAscii" w:cstheme="minorAscii"/>
          <w:noProof w:val="0"/>
          <w:color w:val="auto"/>
          <w:sz w:val="24"/>
          <w:szCs w:val="24"/>
          <w:lang w:val="en-US"/>
        </w:rPr>
        <w:t>[18]</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Because this is a loose association, we ranked these seven dates low and modeled the two excavations together as a single phase to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determine</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early an</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d late bo</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undaries. The two marine dates were kept separate. </w:t>
      </w:r>
    </w:p>
    <w:p w:rsidR="61C9ED91" w:rsidP="61C9ED91" w:rsidRDefault="61C9ED91" w14:paraId="4B3C4A58" w14:textId="36398E6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2A82F441" w:rsidP="43F8191E" w:rsidRDefault="2A82F441" w14:paraId="461D7D65" w14:textId="615DE87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Hornish Point, Scotland</w:t>
      </w:r>
    </w:p>
    <w:p w:rsidR="2A82F441" w:rsidP="43F8191E" w:rsidRDefault="2A82F441" w14:paraId="77E3757A" w14:textId="56170D8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There is a mixture of terrestrial and marine dates at the site with Great Auk occurring in three different blocks </w:t>
      </w:r>
      <w:r w:rsidRPr="61C9ED91" w:rsidR="00A06B99">
        <w:rPr>
          <w:rFonts w:ascii="Times New Roman" w:hAnsi="Times New Roman" w:eastAsia="Times New Roman" w:cs="Times New Roman" w:asciiTheme="minorAscii" w:hAnsiTheme="minorAscii" w:eastAsiaTheme="minorAscii" w:cstheme="minorAscii"/>
          <w:noProof w:val="0"/>
          <w:color w:val="auto"/>
          <w:sz w:val="24"/>
          <w:szCs w:val="24"/>
          <w:lang w:val="en"/>
        </w:rPr>
        <w:t>[19]</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We took the middle date of three from Block 19 and kept the other two dates from Blocks 12 and 13 unmodeled. </w:t>
      </w:r>
    </w:p>
    <w:p w:rsidR="387C484B" w:rsidP="43F8191E" w:rsidRDefault="387C484B" w14:paraId="0BD129D9" w14:textId="05140715">
      <w:pPr>
        <w:pStyle w:val="Normal"/>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p>
    <w:p w:rsidR="0F40B04A" w:rsidP="43F8191E" w:rsidRDefault="0F40B04A" w14:paraId="62FABF66" w14:textId="4D483373">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 Radiocarbon-based extinction modeling </w:t>
      </w:r>
    </w:p>
    <w:p w:rsidR="0F40B04A" w:rsidP="61C9ED91" w:rsidRDefault="0F40B04A" w14:paraId="3274A928" w14:textId="7C6FDEFC">
      <w:pPr>
        <w:spacing w:line="24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applied the GRIWM model</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797C3B9B">
        <w:rPr>
          <w:rFonts w:ascii="Times New Roman" w:hAnsi="Times New Roman" w:eastAsia="Times New Roman" w:cs="Times New Roman" w:asciiTheme="minorAscii" w:hAnsiTheme="minorAscii" w:eastAsiaTheme="minorAscii" w:cstheme="minorAscii"/>
          <w:noProof w:val="0"/>
          <w:color w:val="auto"/>
          <w:sz w:val="24"/>
          <w:szCs w:val="24"/>
          <w:lang w:val="en-US"/>
        </w:rPr>
        <w:t>20]</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which uses a down-weighting interval procedure, to the radiocarbon data to estimate extinction timing. This approach accounts for variation in temporal fossil distribution and uncertainty in radiocarbon dating. We did not implement the latest version of the model, the Calibration-Resampled Inverse-Weighted McInerny Method (CRIWM) [</w:t>
      </w:r>
      <w:r w:rsidRPr="61C9ED91" w:rsidR="54D33CA9">
        <w:rPr>
          <w:rFonts w:ascii="Times New Roman" w:hAnsi="Times New Roman" w:eastAsia="Times New Roman" w:cs="Times New Roman" w:asciiTheme="minorAscii" w:hAnsiTheme="minorAscii" w:eastAsiaTheme="minorAscii" w:cstheme="minorAscii"/>
          <w:noProof w:val="0"/>
          <w:color w:val="auto"/>
          <w:sz w:val="24"/>
          <w:szCs w:val="24"/>
          <w:lang w:val="en-US"/>
        </w:rPr>
        <w:t>21</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because it cannot calibrate marine dates from different ocean basins. We entered the thinned calibrated mean dates for each site into GRIWM, using R version 4.3.3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3D0BDF22">
        <w:rPr>
          <w:rFonts w:ascii="Times New Roman" w:hAnsi="Times New Roman" w:eastAsia="Times New Roman" w:cs="Times New Roman" w:asciiTheme="minorAscii" w:hAnsiTheme="minorAscii" w:eastAsiaTheme="minorAscii" w:cstheme="minorAscii"/>
          <w:noProof w:val="0"/>
          <w:color w:val="auto"/>
          <w:sz w:val="24"/>
          <w:szCs w:val="24"/>
          <w:lang w:val="en-US"/>
        </w:rPr>
        <w:t>22</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also separately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analysed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all high-quality dates (score ≥9), all low-quality dates (score &lt;9), and the high-quality dates for each population, to assess biases between high-quality and low-quality dates.</w:t>
      </w:r>
    </w:p>
    <w:p w:rsidR="0F40B04A" w:rsidP="43F8191E" w:rsidRDefault="0F40B04A" w14:paraId="3A2DFBBF" w14:textId="11EE61B2">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39017CE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estimated extinction timing for the Great Auk’s entire range and for specific populations: (1) Northwest Atlantic population (United States, Gulf of Maine, Canada, Greenland); (2) Gulf of Maine in isolation; (3) Northeast Atlantic population (Iceland, Denmark and Faroe Islands, France, Germany, Morocco, Netherlands, Northern Ireland, Norway, Republic of Ireland, Sweden, United Kingdom). </w:t>
      </w:r>
    </w:p>
    <w:p w:rsidR="0F40B04A" w:rsidP="43F8191E" w:rsidRDefault="0F40B04A" w14:paraId="5999EB7C" w14:textId="292C2E8A">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39017CE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w:rsidR="0F40B04A" w:rsidP="43F8191E" w:rsidRDefault="0F40B04A" w14:paraId="5E557CA6" w14:textId="4901A7A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39017CE7">
        <w:rPr>
          <w:rFonts w:ascii="Times New Roman" w:hAnsi="Times New Roman" w:eastAsia="Times New Roman" w:cs="Times New Roman" w:asciiTheme="minorAscii" w:hAnsiTheme="minorAscii" w:eastAsiaTheme="minorAscii" w:cstheme="minorAscii"/>
          <w:noProof w:val="0"/>
          <w:color w:val="auto"/>
          <w:sz w:val="24"/>
          <w:szCs w:val="24"/>
          <w:lang w:val="en-US"/>
        </w:rPr>
        <w:t>(c) Historical sighting database curation</w:t>
      </w:r>
    </w:p>
    <w:p w:rsidR="0F40B04A" w:rsidP="61C9ED91" w:rsidRDefault="0F40B04A" w14:paraId="7C3D6DAB" w14:textId="65021A73">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assembled a historical sighting database by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searching</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Global Biodiversity Information Facility (GBIF)</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08FCCBBE">
        <w:rPr>
          <w:rFonts w:ascii="Times New Roman" w:hAnsi="Times New Roman" w:eastAsia="Times New Roman" w:cs="Times New Roman" w:asciiTheme="minorAscii" w:hAnsiTheme="minorAscii" w:eastAsiaTheme="minorAscii" w:cstheme="minorAscii"/>
          <w:noProof w:val="0"/>
          <w:color w:val="auto"/>
          <w:sz w:val="24"/>
          <w:szCs w:val="24"/>
          <w:lang w:val="en-US"/>
        </w:rPr>
        <w:t>23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literature including historical whaling archives, testimonies, and diaries in print and online. </w:t>
      </w:r>
      <w:r w:rsidRPr="61C9ED91" w:rsidR="24561A83">
        <w:rPr>
          <w:rFonts w:ascii="Times New Roman" w:hAnsi="Times New Roman" w:eastAsia="Times New Roman" w:cs="Times New Roman" w:asciiTheme="minorAscii" w:hAnsiTheme="minorAscii" w:eastAsiaTheme="minorAscii" w:cstheme="minorAscii"/>
          <w:noProof w:val="0"/>
          <w:color w:val="auto"/>
          <w:sz w:val="24"/>
          <w:szCs w:val="24"/>
          <w:lang w:val="en-US"/>
        </w:rPr>
        <w:t>We used Google Translate to translate historical documents from other languages (Norwegian, Icelandic, Faroese, Latin, Spanish, French, Danish) into English, combed the literature, and contacted collection managers of historical archives. We searched for any mentions of Great Auk under its many alternative names and spelling variations</w:t>
      </w:r>
      <w:r w:rsidRPr="61C9ED91" w:rsidR="2D6300C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4561A8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(see </w:t>
      </w:r>
      <w:r w:rsidRPr="61C9ED91" w:rsidR="70538BD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“Great Auk Names.xlsx” and Table 2 for the </w:t>
      </w:r>
      <w:r w:rsidRPr="61C9ED91" w:rsidR="24561A83">
        <w:rPr>
          <w:rFonts w:ascii="Times New Roman" w:hAnsi="Times New Roman" w:eastAsia="Times New Roman" w:cs="Times New Roman" w:asciiTheme="minorAscii" w:hAnsiTheme="minorAscii" w:eastAsiaTheme="minorAscii" w:cstheme="minorAscii"/>
          <w:noProof w:val="0"/>
          <w:color w:val="auto"/>
          <w:sz w:val="24"/>
          <w:szCs w:val="24"/>
          <w:lang w:val="en-US"/>
        </w:rPr>
        <w:t>complete list and references).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For each sighting, we recorded locality, latitude, longitude, date (CE), reporter, and reference details. We used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GEOLocate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44A7291C">
        <w:rPr>
          <w:rFonts w:ascii="Times New Roman" w:hAnsi="Times New Roman" w:eastAsia="Times New Roman" w:cs="Times New Roman" w:asciiTheme="minorAscii" w:hAnsiTheme="minorAscii" w:eastAsiaTheme="minorAscii" w:cstheme="minorAscii"/>
          <w:noProof w:val="0"/>
          <w:color w:val="auto"/>
          <w:sz w:val="24"/>
          <w:szCs w:val="24"/>
          <w:lang w:val="en-US"/>
        </w:rPr>
        <w:t>24</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determine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geographic </w:t>
      </w:r>
      <w:r w:rsidRPr="61C9ED91" w:rsidR="08B07D9C">
        <w:rPr>
          <w:rFonts w:ascii="Times New Roman" w:hAnsi="Times New Roman" w:eastAsia="Times New Roman" w:cs="Times New Roman" w:asciiTheme="minorAscii" w:hAnsiTheme="minorAscii" w:eastAsiaTheme="minorAscii" w:cstheme="minorAscii"/>
          <w:noProof w:val="0"/>
          <w:color w:val="auto"/>
          <w:sz w:val="24"/>
          <w:szCs w:val="24"/>
          <w:lang w:val="en-US"/>
        </w:rPr>
        <w:t>coordinates and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assigned quality scores (1-3) to all records based on their credibility: 1, specimen collected at known date; 2, confirmed sighting without associated physical specimen; 3, unconfirmed sighting (</w:t>
      </w:r>
      <w:r w:rsidRPr="61C9ED91" w:rsidR="22659F2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Table </w:t>
      </w:r>
      <w:r w:rsidRPr="61C9ED91" w:rsidR="71485E61">
        <w:rPr>
          <w:rFonts w:ascii="Times New Roman" w:hAnsi="Times New Roman" w:eastAsia="Times New Roman" w:cs="Times New Roman" w:asciiTheme="minorAscii" w:hAnsiTheme="minorAscii" w:eastAsiaTheme="minorAscii" w:cstheme="minorAscii"/>
          <w:noProof w:val="0"/>
          <w:color w:val="auto"/>
          <w:sz w:val="24"/>
          <w:szCs w:val="24"/>
          <w:lang w:val="en-US"/>
        </w:rPr>
        <w:t>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w:rsidR="5C07659D" w:rsidP="61C9ED91" w:rsidRDefault="5C07659D" w14:paraId="247B240F" w14:textId="59126FA6">
      <w:pPr>
        <w:spacing w:line="24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instance, this description would merit a confirmed sighting with a score of two due to its </w:t>
      </w: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accurate</w:t>
      </w: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details: </w:t>
      </w:r>
    </w:p>
    <w:p w:rsidR="5C07659D" w:rsidP="61C9ED91" w:rsidRDefault="5C07659D" w14:paraId="149909D2" w14:textId="7D7AB734">
      <w:pPr>
        <w:pStyle w:val="Normal"/>
        <w:spacing w:line="240" w:lineRule="auto"/>
        <w:ind w:firstLine="72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Some of these birds are as large as geese</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being</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black and white with a beak like a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crow’s</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They are always in the water, not being able to fly in the air, </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inasmuch as</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they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have only small wings about the size of one’s hand, with which however they move as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quickly along the water as other birds </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fly through the air</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And these birds are so fat that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it is marvelous…</w:t>
      </w: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084CFB64">
        <w:rPr>
          <w:rFonts w:ascii="Times New Roman" w:hAnsi="Times New Roman" w:eastAsia="Times New Roman" w:cs="Times New Roman" w:asciiTheme="minorAscii" w:hAnsiTheme="minorAscii" w:eastAsiaTheme="minorAscii" w:cstheme="minorAscii"/>
          <w:noProof w:val="0"/>
          <w:color w:val="auto"/>
          <w:sz w:val="24"/>
          <w:szCs w:val="24"/>
          <w:lang w:val="en-US"/>
        </w:rPr>
        <w:t>[25].</w:t>
      </w:r>
    </w:p>
    <w:p w:rsidR="387C484B" w:rsidP="43F8191E" w:rsidRDefault="387C484B" w14:paraId="4768B8F6" w14:textId="71E503C6">
      <w:pPr>
        <w:pStyle w:val="Normal"/>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0F40B04A" w:rsidP="43F8191E" w:rsidRDefault="0F40B04A" w14:paraId="3DFE1F6E" w14:textId="0E72E179">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(d) Sighting-based extinction modeling</w:t>
      </w:r>
    </w:p>
    <w:p w:rsidR="276E872E" w:rsidP="61C9ED91" w:rsidRDefault="276E872E" w14:paraId="50BC5278" w14:textId="58CF2049">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analy</w:t>
      </w:r>
      <w:r w:rsidRPr="61C9ED91" w:rsidR="325C827F">
        <w:rPr>
          <w:rFonts w:ascii="Times New Roman" w:hAnsi="Times New Roman" w:eastAsia="Times New Roman" w:cs="Times New Roman" w:asciiTheme="minorAscii" w:hAnsiTheme="minorAscii" w:eastAsiaTheme="minorAscii" w:cstheme="minorAscii"/>
          <w:noProof w:val="0"/>
          <w:color w:val="auto"/>
          <w:sz w:val="24"/>
          <w:szCs w:val="24"/>
          <w:lang w:val="en-US"/>
        </w:rPr>
        <w:t>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historical sighting data using a Bayesian Solow &amp; Beet extinction timing model</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[2</w:t>
      </w:r>
      <w:r w:rsidRPr="61C9ED91" w:rsidR="1D850744">
        <w:rPr>
          <w:rFonts w:ascii="Times New Roman" w:hAnsi="Times New Roman" w:eastAsia="Times New Roman" w:cs="Times New Roman" w:asciiTheme="minorAscii" w:hAnsiTheme="minorAscii" w:eastAsiaTheme="minorAscii" w:cstheme="minorAscii"/>
          <w:noProof w:val="0"/>
          <w:color w:val="auto"/>
          <w:sz w:val="24"/>
          <w:szCs w:val="24"/>
          <w:lang w:val="en-US"/>
        </w:rPr>
        <w:t>6</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which accounts for sighting quality, with specimen-based and confirmed sightings having a greater impact on the extinction date estimate than unconfirmed sightings. Whereas early sighting-based models assume all sightings are valid and do not account for uncertainty</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194851A4">
        <w:rPr>
          <w:rFonts w:ascii="Times New Roman" w:hAnsi="Times New Roman" w:eastAsia="Times New Roman" w:cs="Times New Roman" w:asciiTheme="minorAscii" w:hAnsiTheme="minorAscii" w:eastAsiaTheme="minorAscii" w:cstheme="minorAscii"/>
          <w:noProof w:val="0"/>
          <w:color w:val="auto"/>
          <w:sz w:val="24"/>
          <w:szCs w:val="24"/>
          <w:lang w:val="en-US"/>
        </w:rPr>
        <w:t>27</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implemented Solow and Beet’s “Model 2” approach in R, as it includes mixed-certainty sighting data to model extinction timing more robustly, by considering specimen-based, confirmed, and unconfirmed sightings within the same Poisson process such that sightings of varying validity can co-occur before the true extinction date. If there were more than one sighting per year, we omitted duplicate sightings based on reliability, keeping the highest-scoring date. To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determine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temporal patterns between specimen-based and unconfirmed sightings, we assessed model outputs separately across the entire geographic range. We conducted combined analyses of specimen-based and confirmed sightings (scores 1+2) and confirmed and unconfirmed sightings (scores 2+3); it was not possible to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analy</w:t>
      </w:r>
      <w:r w:rsidRPr="61C9ED91" w:rsidR="3A86CFA8">
        <w:rPr>
          <w:rFonts w:ascii="Times New Roman" w:hAnsi="Times New Roman" w:eastAsia="Times New Roman" w:cs="Times New Roman" w:asciiTheme="minorAscii" w:hAnsiTheme="minorAscii" w:eastAsiaTheme="minorAscii" w:cstheme="minorAscii"/>
          <w:noProof w:val="0"/>
          <w:color w:val="auto"/>
          <w:sz w:val="24"/>
          <w:szCs w:val="24"/>
          <w:lang w:val="en-US"/>
        </w:rPr>
        <w:t>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each score separately due to the low sample size of dates. We also re-ran the model to estimate extinction using the earliest, median, and latest dates when reports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provided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range of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possible dates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estimated extinction timing for the species’ entire range and for designated populations with sufficient sample sizes: the Northwest Atlantic and the Northeast Atlantic. </w:t>
      </w:r>
    </w:p>
    <w:p w:rsidR="61C9ED91" w:rsidP="61C9ED91" w:rsidRDefault="61C9ED91" w14:paraId="3E4291B3" w14:textId="7C1C85AF">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0244CBDF" w:rsidP="61C9ED91" w:rsidRDefault="0244CBDF" w14:paraId="6F27C93B" w14:textId="00C37406">
      <w:pPr>
        <w:spacing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single"/>
          <w:lang w:val="en-US"/>
        </w:rPr>
      </w:pPr>
      <w:r w:rsidRPr="61C9ED91" w:rsidR="0244CBDF">
        <w:rPr>
          <w:rFonts w:ascii="Times New Roman" w:hAnsi="Times New Roman" w:eastAsia="Times New Roman" w:cs="Times New Roman" w:asciiTheme="minorAscii" w:hAnsiTheme="minorAscii" w:eastAsiaTheme="minorAscii" w:cstheme="minorAscii"/>
          <w:b w:val="0"/>
          <w:bCs w:val="0"/>
          <w:noProof w:val="0"/>
          <w:color w:val="auto"/>
          <w:sz w:val="24"/>
          <w:szCs w:val="24"/>
          <w:u w:val="single"/>
          <w:lang w:val="en-US"/>
        </w:rPr>
        <w:t>Works Cited</w:t>
      </w:r>
    </w:p>
    <w:p w:rsidR="0244CBDF" w:rsidP="61C9ED91" w:rsidRDefault="0244CBDF" w14:paraId="1456F43A" w14:textId="3B5E7F7B">
      <w:pPr>
        <w:spacing w:line="240" w:lineRule="auto"/>
        <w:ind w:left="0" w:right="80"/>
        <w:rPr>
          <w:color w:val="auto"/>
        </w:rPr>
      </w:pPr>
      <w:r w:rsidRPr="61C9ED91" w:rsidR="0244CBDF">
        <w:rPr>
          <w:rFonts w:ascii="Times New Roman" w:hAnsi="Times New Roman" w:eastAsia="Times New Roman" w:cs="Times New Roman"/>
          <w:noProof w:val="0"/>
          <w:color w:val="auto"/>
          <w:sz w:val="24"/>
          <w:szCs w:val="24"/>
          <w:lang w:val="en-US"/>
        </w:rPr>
        <w:t>[</w:t>
      </w:r>
      <w:r w:rsidRPr="61C9ED91" w:rsidR="0C172D92">
        <w:rPr>
          <w:rFonts w:ascii="Times New Roman" w:hAnsi="Times New Roman" w:eastAsia="Times New Roman" w:cs="Times New Roman"/>
          <w:noProof w:val="0"/>
          <w:color w:val="auto"/>
          <w:sz w:val="24"/>
          <w:szCs w:val="24"/>
          <w:lang w:val="en-US"/>
        </w:rPr>
        <w:t>1</w:t>
      </w:r>
      <w:r w:rsidRPr="61C9ED91" w:rsidR="0244CBDF">
        <w:rPr>
          <w:rFonts w:ascii="Times New Roman" w:hAnsi="Times New Roman" w:eastAsia="Times New Roman" w:cs="Times New Roman"/>
          <w:noProof w:val="0"/>
          <w:color w:val="auto"/>
          <w:sz w:val="24"/>
          <w:szCs w:val="24"/>
          <w:lang w:val="en-US"/>
        </w:rPr>
        <w:t xml:space="preserve">] CARD [Internet]. [cited 2024 Mar 27]. Available from: </w:t>
      </w:r>
      <w:hyperlink r:id="R7f69d2f496c74b86">
        <w:r w:rsidRPr="61C9ED91" w:rsidR="0244CBDF">
          <w:rPr>
            <w:rStyle w:val="Hyperlink"/>
            <w:strike w:val="0"/>
            <w:dstrike w:val="0"/>
            <w:noProof w:val="0"/>
            <w:color w:val="auto"/>
            <w:u w:val="single"/>
            <w:lang w:val="en-US"/>
          </w:rPr>
          <w:t>https://www.canadianarchaeology.ca/</w:t>
        </w:r>
      </w:hyperlink>
    </w:p>
    <w:p w:rsidR="0244CBDF" w:rsidP="61C9ED91" w:rsidRDefault="0244CBDF" w14:paraId="5A81D822" w14:textId="60C2B6A3">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62F6267B">
        <w:rPr>
          <w:rFonts w:ascii="Times New Roman" w:hAnsi="Times New Roman" w:eastAsia="Times New Roman" w:cs="Times New Roman"/>
          <w:noProof w:val="0"/>
          <w:color w:val="auto"/>
          <w:sz w:val="24"/>
          <w:szCs w:val="24"/>
          <w:lang w:val="en-US"/>
        </w:rPr>
        <w:t>2</w:t>
      </w:r>
      <w:r w:rsidRPr="61C9ED91" w:rsidR="0244CBDF">
        <w:rPr>
          <w:rFonts w:ascii="Times New Roman" w:hAnsi="Times New Roman" w:eastAsia="Times New Roman" w:cs="Times New Roman"/>
          <w:noProof w:val="0"/>
          <w:color w:val="auto"/>
          <w:sz w:val="24"/>
          <w:szCs w:val="24"/>
          <w:lang w:val="en-US"/>
        </w:rPr>
        <w:t xml:space="preserve">] McClennen M, Jenkins J, </w:t>
      </w:r>
      <w:r w:rsidRPr="61C9ED91" w:rsidR="0244CBDF">
        <w:rPr>
          <w:rFonts w:ascii="Times New Roman" w:hAnsi="Times New Roman" w:eastAsia="Times New Roman" w:cs="Times New Roman"/>
          <w:noProof w:val="0"/>
          <w:color w:val="auto"/>
          <w:sz w:val="24"/>
          <w:szCs w:val="24"/>
          <w:lang w:val="en-US"/>
        </w:rPr>
        <w:t>Uhen</w:t>
      </w:r>
      <w:r w:rsidRPr="61C9ED91" w:rsidR="0244CBDF">
        <w:rPr>
          <w:rFonts w:ascii="Times New Roman" w:hAnsi="Times New Roman" w:eastAsia="Times New Roman" w:cs="Times New Roman"/>
          <w:noProof w:val="0"/>
          <w:color w:val="auto"/>
          <w:sz w:val="24"/>
          <w:szCs w:val="24"/>
          <w:lang w:val="en-US"/>
        </w:rPr>
        <w:t xml:space="preserve"> M. Paleobiology Database [Internet]. 2017 [cited 2024 Mar 27]. Available from:</w:t>
      </w:r>
      <w:hyperlink r:id="R4002aa5b60ee45d4">
        <w:r w:rsidRPr="61C9ED91" w:rsidR="0244CBDF">
          <w:rPr>
            <w:rStyle w:val="Hyperlink"/>
            <w:strike w:val="0"/>
            <w:dstrike w:val="0"/>
            <w:noProof w:val="0"/>
            <w:color w:val="auto"/>
            <w:u w:val="single"/>
            <w:lang w:val="en-US"/>
          </w:rPr>
          <w:t xml:space="preserve"> </w:t>
        </w:r>
      </w:hyperlink>
      <w:hyperlink r:id="R6141fbb1d7584c8e">
        <w:r w:rsidRPr="61C9ED91" w:rsidR="0244CBDF">
          <w:rPr>
            <w:rStyle w:val="Hyperlink"/>
            <w:strike w:val="0"/>
            <w:dstrike w:val="0"/>
            <w:noProof w:val="0"/>
            <w:color w:val="auto"/>
            <w:u w:val="single"/>
            <w:lang w:val="en-US"/>
          </w:rPr>
          <w:t>https://www.gbif.org/dataset/bb5b30b4–827e–4d5e–a86a–825d65cb6583</w:t>
        </w:r>
      </w:hyperlink>
    </w:p>
    <w:p w:rsidR="0244CBDF" w:rsidP="61C9ED91" w:rsidRDefault="0244CBDF" w14:paraId="6E503883" w14:textId="57809C96">
      <w:pPr>
        <w:spacing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68632642">
        <w:rPr>
          <w:rFonts w:ascii="Times New Roman" w:hAnsi="Times New Roman" w:eastAsia="Times New Roman" w:cs="Times New Roman"/>
          <w:noProof w:val="0"/>
          <w:color w:val="auto"/>
          <w:sz w:val="24"/>
          <w:szCs w:val="24"/>
          <w:lang w:val="en-US"/>
        </w:rPr>
        <w:t>3</w:t>
      </w:r>
      <w:r w:rsidRPr="61C9ED91" w:rsidR="0244CBDF">
        <w:rPr>
          <w:rFonts w:ascii="Times New Roman" w:hAnsi="Times New Roman" w:eastAsia="Times New Roman" w:cs="Times New Roman"/>
          <w:noProof w:val="0"/>
          <w:color w:val="auto"/>
          <w:sz w:val="24"/>
          <w:szCs w:val="24"/>
          <w:lang w:val="en-US"/>
        </w:rPr>
        <w:t>] Mead J, Meltzer D. North American Late Quaternary extinctions and the radiocarbon record. In: Quaternary Extinctions: a prehistoric revolution. Tucson: University of Arizona Press; 1984. p. 440–50.</w:t>
      </w:r>
    </w:p>
    <w:p w:rsidR="0244CBDF" w:rsidP="61C9ED91" w:rsidRDefault="0244CBDF" w14:paraId="2A52D7F7" w14:textId="5F8B9C3E">
      <w:pPr>
        <w:spacing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02A76A19">
        <w:rPr>
          <w:rFonts w:ascii="Times New Roman" w:hAnsi="Times New Roman" w:eastAsia="Times New Roman" w:cs="Times New Roman"/>
          <w:noProof w:val="0"/>
          <w:color w:val="auto"/>
          <w:sz w:val="24"/>
          <w:szCs w:val="24"/>
          <w:lang w:val="en-US"/>
        </w:rPr>
        <w:t>4</w:t>
      </w:r>
      <w:r w:rsidRPr="61C9ED91" w:rsidR="0244CBDF">
        <w:rPr>
          <w:rFonts w:ascii="Times New Roman" w:hAnsi="Times New Roman" w:eastAsia="Times New Roman" w:cs="Times New Roman"/>
          <w:noProof w:val="0"/>
          <w:color w:val="auto"/>
          <w:sz w:val="24"/>
          <w:szCs w:val="24"/>
          <w:lang w:val="en-US"/>
        </w:rPr>
        <w:t>] Barnosky AD, Lindsey EL. Timing of Quaternary megafaunal extinction in South America in relation to human arrival and climate change. Quaternary International. 2010 Apr;217(1–2):10–29.</w:t>
      </w:r>
    </w:p>
    <w:p w:rsidR="0244CBDF" w:rsidP="61C9ED91" w:rsidRDefault="0244CBDF" w14:paraId="2D769F33" w14:textId="2D74A94B">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69A2C0A1">
        <w:rPr>
          <w:rFonts w:ascii="Times New Roman" w:hAnsi="Times New Roman" w:eastAsia="Times New Roman" w:cs="Times New Roman"/>
          <w:noProof w:val="0"/>
          <w:color w:val="auto"/>
          <w:sz w:val="24"/>
          <w:szCs w:val="24"/>
          <w:lang w:val="en-US"/>
        </w:rPr>
        <w:t>5</w:t>
      </w:r>
      <w:r w:rsidRPr="61C9ED91" w:rsidR="0244CBDF">
        <w:rPr>
          <w:rFonts w:ascii="Times New Roman" w:hAnsi="Times New Roman" w:eastAsia="Times New Roman" w:cs="Times New Roman"/>
          <w:noProof w:val="0"/>
          <w:color w:val="auto"/>
          <w:sz w:val="24"/>
          <w:szCs w:val="24"/>
          <w:lang w:val="en-US"/>
        </w:rPr>
        <w:t xml:space="preserve">] Ward, G. K., &amp; Wilson, S. R. (1978). Procedures for comparing and combining radiocarbon age determinations: A critique. </w:t>
      </w:r>
      <w:r w:rsidRPr="61C9ED91" w:rsidR="0244CBDF">
        <w:rPr>
          <w:rFonts w:ascii="Times New Roman" w:hAnsi="Times New Roman" w:eastAsia="Times New Roman" w:cs="Times New Roman"/>
          <w:i w:val="1"/>
          <w:iCs w:val="1"/>
          <w:noProof w:val="0"/>
          <w:color w:val="auto"/>
          <w:sz w:val="24"/>
          <w:szCs w:val="24"/>
          <w:lang w:val="en-US"/>
        </w:rPr>
        <w:t>Archaeometry,</w:t>
      </w:r>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i w:val="1"/>
          <w:iCs w:val="1"/>
          <w:noProof w:val="0"/>
          <w:color w:val="auto"/>
          <w:sz w:val="24"/>
          <w:szCs w:val="24"/>
          <w:lang w:val="en-US"/>
        </w:rPr>
        <w:t>20</w:t>
      </w:r>
      <w:r w:rsidRPr="61C9ED91" w:rsidR="0244CBDF">
        <w:rPr>
          <w:rFonts w:ascii="Times New Roman" w:hAnsi="Times New Roman" w:eastAsia="Times New Roman" w:cs="Times New Roman"/>
          <w:noProof w:val="0"/>
          <w:color w:val="auto"/>
          <w:sz w:val="24"/>
          <w:szCs w:val="24"/>
          <w:lang w:val="en-US"/>
        </w:rPr>
        <w:t xml:space="preserve">, 19–31. </w:t>
      </w:r>
      <w:hyperlink r:id="Rd50e570fc36b4157">
        <w:r w:rsidRPr="61C9ED91" w:rsidR="0244CBDF">
          <w:rPr>
            <w:rStyle w:val="Hyperlink"/>
            <w:strike w:val="0"/>
            <w:dstrike w:val="0"/>
            <w:noProof w:val="0"/>
            <w:color w:val="auto"/>
            <w:u w:val="single"/>
            <w:lang w:val="en-US"/>
          </w:rPr>
          <w:t>https://doi.org/10.1111/j.1475-4754.1978.tb00208.x</w:t>
        </w:r>
      </w:hyperlink>
    </w:p>
    <w:p w:rsidR="0244CBDF" w:rsidP="61C9ED91" w:rsidRDefault="0244CBDF" w14:paraId="13607DCB" w14:textId="5DF68AAC">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77F54E24">
        <w:rPr>
          <w:rFonts w:ascii="Times New Roman" w:hAnsi="Times New Roman" w:eastAsia="Times New Roman" w:cs="Times New Roman"/>
          <w:noProof w:val="0"/>
          <w:color w:val="auto"/>
          <w:sz w:val="24"/>
          <w:szCs w:val="24"/>
          <w:lang w:val="en-US"/>
        </w:rPr>
        <w:t>6</w:t>
      </w:r>
      <w:r w:rsidRPr="61C9ED91" w:rsidR="0244CBDF">
        <w:rPr>
          <w:rFonts w:ascii="Times New Roman" w:hAnsi="Times New Roman" w:eastAsia="Times New Roman" w:cs="Times New Roman"/>
          <w:noProof w:val="0"/>
          <w:color w:val="auto"/>
          <w:sz w:val="24"/>
          <w:szCs w:val="24"/>
          <w:lang w:val="en-US"/>
        </w:rPr>
        <w:t xml:space="preserve">] Goldberg A, </w:t>
      </w:r>
      <w:r w:rsidRPr="61C9ED91" w:rsidR="0244CBDF">
        <w:rPr>
          <w:rFonts w:ascii="Times New Roman" w:hAnsi="Times New Roman" w:eastAsia="Times New Roman" w:cs="Times New Roman"/>
          <w:noProof w:val="0"/>
          <w:color w:val="auto"/>
          <w:sz w:val="24"/>
          <w:szCs w:val="24"/>
          <w:lang w:val="en-US"/>
        </w:rPr>
        <w:t>Mychajliw</w:t>
      </w:r>
      <w:r w:rsidRPr="61C9ED91" w:rsidR="0244CBDF">
        <w:rPr>
          <w:rFonts w:ascii="Times New Roman" w:hAnsi="Times New Roman" w:eastAsia="Times New Roman" w:cs="Times New Roman"/>
          <w:noProof w:val="0"/>
          <w:color w:val="auto"/>
          <w:sz w:val="24"/>
          <w:szCs w:val="24"/>
          <w:lang w:val="en-US"/>
        </w:rPr>
        <w:t xml:space="preserve"> AM, Hadly EA. Post-invasion demography of prehistoric humans in South America. Nature. 2016 Apr;532(7598):232–5. </w:t>
      </w:r>
      <w:r w:rsidRPr="61C9ED91" w:rsidR="0244CBDF">
        <w:rPr>
          <w:rFonts w:ascii="Times New Roman" w:hAnsi="Times New Roman" w:eastAsia="Times New Roman" w:cs="Times New Roman"/>
          <w:noProof w:val="0"/>
          <w:color w:val="auto"/>
          <w:sz w:val="24"/>
          <w:szCs w:val="24"/>
          <w:lang w:val="en-US"/>
        </w:rPr>
        <w:t>doi</w:t>
      </w:r>
      <w:r w:rsidRPr="61C9ED91" w:rsidR="0244CBDF">
        <w:rPr>
          <w:rFonts w:ascii="Times New Roman" w:hAnsi="Times New Roman" w:eastAsia="Times New Roman" w:cs="Times New Roman"/>
          <w:noProof w:val="0"/>
          <w:color w:val="auto"/>
          <w:sz w:val="24"/>
          <w:szCs w:val="24"/>
          <w:lang w:val="en-US"/>
        </w:rPr>
        <w:t>:</w:t>
      </w:r>
      <w:hyperlink r:id="R88936c267bcf475a">
        <w:r w:rsidRPr="61C9ED91" w:rsidR="0244CBDF">
          <w:rPr>
            <w:rStyle w:val="Hyperlink"/>
            <w:strike w:val="0"/>
            <w:dstrike w:val="0"/>
            <w:noProof w:val="0"/>
            <w:color w:val="auto"/>
            <w:u w:val="single"/>
            <w:lang w:val="en-US"/>
          </w:rPr>
          <w:t>10.1038/nature17176</w:t>
        </w:r>
      </w:hyperlink>
    </w:p>
    <w:p w:rsidR="0244CBDF" w:rsidP="61C9ED91" w:rsidRDefault="0244CBDF" w14:paraId="2CF4DD7F" w14:textId="07434F61">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5967722D">
        <w:rPr>
          <w:rFonts w:ascii="Times New Roman" w:hAnsi="Times New Roman" w:eastAsia="Times New Roman" w:cs="Times New Roman"/>
          <w:noProof w:val="0"/>
          <w:color w:val="auto"/>
          <w:sz w:val="24"/>
          <w:szCs w:val="24"/>
          <w:lang w:val="en-US"/>
        </w:rPr>
        <w:t>7</w:t>
      </w:r>
      <w:r w:rsidRPr="61C9ED91" w:rsidR="0244CBDF">
        <w:rPr>
          <w:rFonts w:ascii="Times New Roman" w:hAnsi="Times New Roman" w:eastAsia="Times New Roman" w:cs="Times New Roman"/>
          <w:noProof w:val="0"/>
          <w:color w:val="auto"/>
          <w:sz w:val="24"/>
          <w:szCs w:val="24"/>
          <w:lang w:val="en-US"/>
        </w:rPr>
        <w:t xml:space="preserve">] Neufeld A, Dharamshi A, Gao LL, Witten D. Data thinning for convolution-closed distributions [Internet]. </w:t>
      </w:r>
      <w:r w:rsidRPr="61C9ED91" w:rsidR="0244CBDF">
        <w:rPr>
          <w:rFonts w:ascii="Times New Roman" w:hAnsi="Times New Roman" w:eastAsia="Times New Roman" w:cs="Times New Roman"/>
          <w:noProof w:val="0"/>
          <w:color w:val="auto"/>
          <w:sz w:val="24"/>
          <w:szCs w:val="24"/>
          <w:lang w:val="en-US"/>
        </w:rPr>
        <w:t>arXiv</w:t>
      </w:r>
      <w:r w:rsidRPr="61C9ED91" w:rsidR="0244CBDF">
        <w:rPr>
          <w:rFonts w:ascii="Times New Roman" w:hAnsi="Times New Roman" w:eastAsia="Times New Roman" w:cs="Times New Roman"/>
          <w:noProof w:val="0"/>
          <w:color w:val="auto"/>
          <w:sz w:val="24"/>
          <w:szCs w:val="24"/>
          <w:lang w:val="en-US"/>
        </w:rPr>
        <w:t xml:space="preserve">; 2023 [cited 2026 Mar 31]. Available from: </w:t>
      </w:r>
      <w:hyperlink r:id="Rdb769613369f4489">
        <w:r w:rsidRPr="61C9ED91" w:rsidR="0244CBDF">
          <w:rPr>
            <w:rStyle w:val="Hyperlink"/>
            <w:strike w:val="0"/>
            <w:dstrike w:val="0"/>
            <w:noProof w:val="0"/>
            <w:color w:val="auto"/>
            <w:u w:val="single"/>
            <w:lang w:val="en-US"/>
          </w:rPr>
          <w:t>http://arxiv.org/abs/2301.07276</w:t>
        </w:r>
      </w:hyperlink>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noProof w:val="0"/>
          <w:color w:val="auto"/>
          <w:sz w:val="24"/>
          <w:szCs w:val="24"/>
          <w:lang w:val="en-US"/>
        </w:rPr>
        <w:t>doi</w:t>
      </w:r>
      <w:r w:rsidRPr="61C9ED91" w:rsidR="0244CBDF">
        <w:rPr>
          <w:rFonts w:ascii="Times New Roman" w:hAnsi="Times New Roman" w:eastAsia="Times New Roman" w:cs="Times New Roman"/>
          <w:noProof w:val="0"/>
          <w:color w:val="auto"/>
          <w:sz w:val="24"/>
          <w:szCs w:val="24"/>
          <w:lang w:val="en-US"/>
        </w:rPr>
        <w:t>:</w:t>
      </w:r>
      <w:hyperlink r:id="Rc1f892cca0984e2b">
        <w:r w:rsidRPr="61C9ED91" w:rsidR="0244CBDF">
          <w:rPr>
            <w:rStyle w:val="Hyperlink"/>
            <w:strike w:val="0"/>
            <w:dstrike w:val="0"/>
            <w:noProof w:val="0"/>
            <w:color w:val="auto"/>
            <w:u w:val="single"/>
            <w:lang w:val="en-US"/>
          </w:rPr>
          <w:t>10.48550/arXiv.2301.07276</w:t>
        </w:r>
      </w:hyperlink>
    </w:p>
    <w:p w:rsidR="0244CBDF" w:rsidP="61C9ED91" w:rsidRDefault="0244CBDF" w14:paraId="234D5E65" w14:textId="0F4A761B">
      <w:pPr>
        <w:spacing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7B088972">
        <w:rPr>
          <w:rFonts w:ascii="Times New Roman" w:hAnsi="Times New Roman" w:eastAsia="Times New Roman" w:cs="Times New Roman"/>
          <w:noProof w:val="0"/>
          <w:color w:val="auto"/>
          <w:sz w:val="24"/>
          <w:szCs w:val="24"/>
          <w:lang w:val="en-US"/>
        </w:rPr>
        <w:t>8</w:t>
      </w:r>
      <w:r w:rsidRPr="61C9ED91" w:rsidR="0244CBDF">
        <w:rPr>
          <w:rFonts w:ascii="Times New Roman" w:hAnsi="Times New Roman" w:eastAsia="Times New Roman" w:cs="Times New Roman"/>
          <w:noProof w:val="0"/>
          <w:color w:val="auto"/>
          <w:sz w:val="24"/>
          <w:szCs w:val="24"/>
          <w:lang w:val="en-US"/>
        </w:rPr>
        <w:t xml:space="preserve">] Bronk Ramsey C. Radiocarbon Calibration and Analysis of Stratigraphy: The </w:t>
      </w:r>
      <w:r w:rsidRPr="61C9ED91" w:rsidR="0244CBDF">
        <w:rPr>
          <w:rFonts w:ascii="Times New Roman" w:hAnsi="Times New Roman" w:eastAsia="Times New Roman" w:cs="Times New Roman"/>
          <w:noProof w:val="0"/>
          <w:color w:val="auto"/>
          <w:sz w:val="24"/>
          <w:szCs w:val="24"/>
          <w:lang w:val="en-US"/>
        </w:rPr>
        <w:t>OxCal</w:t>
      </w:r>
      <w:r w:rsidRPr="61C9ED91" w:rsidR="0244CBDF">
        <w:rPr>
          <w:rFonts w:ascii="Times New Roman" w:hAnsi="Times New Roman" w:eastAsia="Times New Roman" w:cs="Times New Roman"/>
          <w:noProof w:val="0"/>
          <w:color w:val="auto"/>
          <w:sz w:val="24"/>
          <w:szCs w:val="24"/>
          <w:lang w:val="en-US"/>
        </w:rPr>
        <w:t xml:space="preserve"> Program.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1995;37(2):425–30.</w:t>
      </w:r>
    </w:p>
    <w:p w:rsidR="0244CBDF" w:rsidP="61C9ED91" w:rsidRDefault="0244CBDF" w14:paraId="6B9C5823" w14:textId="3DAEA1EC">
      <w:pPr>
        <w:spacing w:line="240" w:lineRule="auto"/>
        <w:ind w:left="0" w:right="80"/>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4A06CC9E">
        <w:rPr>
          <w:rFonts w:ascii="Times New Roman" w:hAnsi="Times New Roman" w:eastAsia="Times New Roman" w:cs="Times New Roman"/>
          <w:noProof w:val="0"/>
          <w:color w:val="auto"/>
          <w:sz w:val="24"/>
          <w:szCs w:val="24"/>
          <w:lang w:val="en-US"/>
        </w:rPr>
        <w:t>9</w:t>
      </w:r>
      <w:r w:rsidRPr="61C9ED91" w:rsidR="0244CBDF">
        <w:rPr>
          <w:rFonts w:ascii="Times New Roman" w:hAnsi="Times New Roman" w:eastAsia="Times New Roman" w:cs="Times New Roman"/>
          <w:noProof w:val="0"/>
          <w:color w:val="auto"/>
          <w:sz w:val="24"/>
          <w:szCs w:val="24"/>
          <w:lang w:val="en-US"/>
        </w:rPr>
        <w:t xml:space="preserve">] Bronk Ramsey C. Development of the Radiocarbon Calibration Program.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2001;43(2A):355–63.</w:t>
      </w:r>
    </w:p>
    <w:p w:rsidR="0244CBDF" w:rsidP="61C9ED91" w:rsidRDefault="0244CBDF" w14:paraId="239871B1" w14:textId="725E0BD7">
      <w:pPr>
        <w:spacing w:line="240" w:lineRule="auto"/>
        <w:ind w:left="0" w:right="80"/>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3148038F">
        <w:rPr>
          <w:rFonts w:ascii="Times New Roman" w:hAnsi="Times New Roman" w:eastAsia="Times New Roman" w:cs="Times New Roman"/>
          <w:noProof w:val="0"/>
          <w:color w:val="auto"/>
          <w:sz w:val="24"/>
          <w:szCs w:val="24"/>
          <w:lang w:val="en-US"/>
        </w:rPr>
        <w:t>10</w:t>
      </w:r>
      <w:r w:rsidRPr="61C9ED91" w:rsidR="0244CBDF">
        <w:rPr>
          <w:rFonts w:ascii="Times New Roman" w:hAnsi="Times New Roman" w:eastAsia="Times New Roman" w:cs="Times New Roman"/>
          <w:noProof w:val="0"/>
          <w:color w:val="auto"/>
          <w:sz w:val="24"/>
          <w:szCs w:val="24"/>
          <w:lang w:val="en-US"/>
        </w:rPr>
        <w:t xml:space="preserve">] Reimer PJ, Austin WEN, Bard E, Bayliss A, Blackwell PG, Bronk Ramsey C, et al. The IntCal20 Northern Hemisphere Radiocarbon Age Calibration Curve (0–55 </w:t>
      </w:r>
      <w:r w:rsidRPr="61C9ED91" w:rsidR="0244CBDF">
        <w:rPr>
          <w:rFonts w:ascii="Times New Roman" w:hAnsi="Times New Roman" w:eastAsia="Times New Roman" w:cs="Times New Roman"/>
          <w:noProof w:val="0"/>
          <w:color w:val="auto"/>
          <w:sz w:val="24"/>
          <w:szCs w:val="24"/>
          <w:lang w:val="en-US"/>
        </w:rPr>
        <w:t>cal</w:t>
      </w:r>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noProof w:val="0"/>
          <w:color w:val="auto"/>
          <w:sz w:val="24"/>
          <w:szCs w:val="24"/>
          <w:lang w:val="en-US"/>
        </w:rPr>
        <w:t>kBP</w:t>
      </w:r>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2020 Aug;62(4):725–57.</w:t>
      </w:r>
    </w:p>
    <w:p w:rsidR="0244CBDF" w:rsidP="61C9ED91" w:rsidRDefault="0244CBDF" w14:paraId="73CE65C0" w14:textId="29A4CF96">
      <w:pPr>
        <w:spacing w:line="240" w:lineRule="auto"/>
        <w:ind w:left="0" w:right="80"/>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3537A576">
        <w:rPr>
          <w:rFonts w:ascii="Times New Roman" w:hAnsi="Times New Roman" w:eastAsia="Times New Roman" w:cs="Times New Roman"/>
          <w:noProof w:val="0"/>
          <w:color w:val="auto"/>
          <w:sz w:val="24"/>
          <w:szCs w:val="24"/>
          <w:lang w:val="en-US"/>
        </w:rPr>
        <w:t>11</w:t>
      </w:r>
      <w:r w:rsidRPr="61C9ED91" w:rsidR="0244CBDF">
        <w:rPr>
          <w:rFonts w:ascii="Times New Roman" w:hAnsi="Times New Roman" w:eastAsia="Times New Roman" w:cs="Times New Roman"/>
          <w:noProof w:val="0"/>
          <w:color w:val="auto"/>
          <w:sz w:val="24"/>
          <w:szCs w:val="24"/>
          <w:lang w:val="en-US"/>
        </w:rPr>
        <w:t xml:space="preserve">] Heaton TJ, Köhler P, Butzin M, Bard E, Reimer RW, Austin WEN, et al. Marine20—The Marine Radiocarbon Age Calibration Curve (0–55,000 </w:t>
      </w:r>
      <w:r w:rsidRPr="61C9ED91" w:rsidR="0244CBDF">
        <w:rPr>
          <w:rFonts w:ascii="Times New Roman" w:hAnsi="Times New Roman" w:eastAsia="Times New Roman" w:cs="Times New Roman"/>
          <w:noProof w:val="0"/>
          <w:color w:val="auto"/>
          <w:sz w:val="24"/>
          <w:szCs w:val="24"/>
          <w:lang w:val="en-US"/>
        </w:rPr>
        <w:t>cal</w:t>
      </w:r>
      <w:r w:rsidRPr="61C9ED91" w:rsidR="0244CBDF">
        <w:rPr>
          <w:rFonts w:ascii="Times New Roman" w:hAnsi="Times New Roman" w:eastAsia="Times New Roman" w:cs="Times New Roman"/>
          <w:noProof w:val="0"/>
          <w:color w:val="auto"/>
          <w:sz w:val="24"/>
          <w:szCs w:val="24"/>
          <w:lang w:val="en-US"/>
        </w:rPr>
        <w:t xml:space="preserve"> BP).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2020;62(4):779–820. doi:10.1017/RDC.2020.68</w:t>
      </w:r>
    </w:p>
    <w:p w:rsidR="0244CBDF" w:rsidP="61C9ED91" w:rsidRDefault="0244CBDF" w14:paraId="396F94BC" w14:textId="27D94020">
      <w:pPr>
        <w:spacing w:after="0" w:afterAutospacing="off"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5F47889A">
        <w:rPr>
          <w:rFonts w:ascii="Times New Roman" w:hAnsi="Times New Roman" w:eastAsia="Times New Roman" w:cs="Times New Roman"/>
          <w:noProof w:val="0"/>
          <w:color w:val="auto"/>
          <w:sz w:val="24"/>
          <w:szCs w:val="24"/>
          <w:lang w:val="en-US"/>
        </w:rPr>
        <w:t>12</w:t>
      </w:r>
      <w:r w:rsidRPr="61C9ED91" w:rsidR="0244CBDF">
        <w:rPr>
          <w:rFonts w:ascii="Times New Roman" w:hAnsi="Times New Roman" w:eastAsia="Times New Roman" w:cs="Times New Roman"/>
          <w:noProof w:val="0"/>
          <w:color w:val="auto"/>
          <w:sz w:val="24"/>
          <w:szCs w:val="24"/>
          <w:lang w:val="en-US"/>
        </w:rPr>
        <w:t xml:space="preserve">] Rios N, Bart H. </w:t>
      </w:r>
      <w:r w:rsidRPr="61C9ED91" w:rsidR="0244CBDF">
        <w:rPr>
          <w:rFonts w:ascii="Times New Roman" w:hAnsi="Times New Roman" w:eastAsia="Times New Roman" w:cs="Times New Roman"/>
          <w:noProof w:val="0"/>
          <w:color w:val="auto"/>
          <w:sz w:val="24"/>
          <w:szCs w:val="24"/>
          <w:lang w:val="en-US"/>
        </w:rPr>
        <w:t>GEOLocate</w:t>
      </w:r>
      <w:r w:rsidRPr="61C9ED91" w:rsidR="0244CBDF">
        <w:rPr>
          <w:rFonts w:ascii="Times New Roman" w:hAnsi="Times New Roman" w:eastAsia="Times New Roman" w:cs="Times New Roman"/>
          <w:noProof w:val="0"/>
          <w:color w:val="auto"/>
          <w:sz w:val="24"/>
          <w:szCs w:val="24"/>
          <w:lang w:val="en-US"/>
        </w:rPr>
        <w:t xml:space="preserve">. Belle Chasse, LA: Tulane University Museum of Natural </w:t>
      </w:r>
      <w:r w:rsidRPr="61C9ED91" w:rsidR="0244CBDF">
        <w:rPr>
          <w:rFonts w:ascii="Times New Roman" w:hAnsi="Times New Roman" w:eastAsia="Times New Roman" w:cs="Times New Roman"/>
          <w:noProof w:val="0"/>
          <w:color w:val="auto"/>
          <w:sz w:val="24"/>
          <w:szCs w:val="24"/>
          <w:lang w:val="en-US"/>
        </w:rPr>
        <w:t>History.;</w:t>
      </w:r>
      <w:r w:rsidRPr="61C9ED91" w:rsidR="0244CBDF">
        <w:rPr>
          <w:rFonts w:ascii="Times New Roman" w:hAnsi="Times New Roman" w:eastAsia="Times New Roman" w:cs="Times New Roman"/>
          <w:noProof w:val="0"/>
          <w:color w:val="auto"/>
          <w:sz w:val="24"/>
          <w:szCs w:val="24"/>
          <w:lang w:val="en-US"/>
        </w:rPr>
        <w:t xml:space="preserve"> 2010.</w:t>
      </w:r>
    </w:p>
    <w:p w:rsidR="61C9ED91" w:rsidP="61C9ED91" w:rsidRDefault="61C9ED91" w14:paraId="6D3F08E6" w14:textId="0A06E0E2">
      <w:pPr>
        <w:spacing w:after="0" w:afterAutospacing="off" w:line="240" w:lineRule="auto"/>
        <w:rPr>
          <w:rFonts w:ascii="Times New Roman" w:hAnsi="Times New Roman" w:eastAsia="Times New Roman" w:cs="Times New Roman"/>
          <w:noProof w:val="0"/>
          <w:color w:val="auto"/>
          <w:sz w:val="24"/>
          <w:szCs w:val="24"/>
          <w:lang w:val="en-US"/>
        </w:rPr>
      </w:pPr>
    </w:p>
    <w:p w:rsidR="2FCAC485" w:rsidP="61C9ED91" w:rsidRDefault="2FCAC485" w14:paraId="3B76DE0C" w14:textId="17D59561">
      <w:pPr>
        <w:pStyle w:val="Normal"/>
        <w:spacing w:after="0" w:afterAutospacing="off" w:line="240" w:lineRule="auto"/>
        <w:rPr>
          <w:rFonts w:ascii="Times New Roman" w:hAnsi="Times New Roman" w:eastAsia="Times New Roman" w:cs="Times New Roman"/>
          <w:noProof w:val="0"/>
          <w:color w:val="auto"/>
          <w:sz w:val="24"/>
          <w:szCs w:val="24"/>
          <w:lang w:val="en-US"/>
        </w:rPr>
      </w:pPr>
      <w:r w:rsidRPr="61C9ED91" w:rsidR="2FCAC485">
        <w:rPr>
          <w:rFonts w:ascii="Times New Roman" w:hAnsi="Times New Roman" w:eastAsia="Times New Roman" w:cs="Times New Roman"/>
          <w:noProof w:val="0"/>
          <w:color w:val="auto"/>
          <w:sz w:val="24"/>
          <w:szCs w:val="24"/>
          <w:lang w:val="en-US"/>
        </w:rPr>
        <w:t>[13]</w:t>
      </w:r>
      <w:r w:rsidRPr="61C9ED91" w:rsidR="2FCAC485">
        <w:rPr>
          <w:rFonts w:ascii="Times New Roman" w:hAnsi="Times New Roman" w:eastAsia="Times New Roman" w:cs="Times New Roman"/>
          <w:noProof w:val="0"/>
          <w:color w:val="auto"/>
          <w:sz w:val="24"/>
          <w:szCs w:val="24"/>
          <w:lang w:val="en-US"/>
        </w:rPr>
        <w:t xml:space="preserve"> Spiess, A., &amp; Lewis, R. A. (2001). The Turner Farm fauna: 5000 years of</w:t>
      </w:r>
    </w:p>
    <w:p w:rsidR="2FCAC485" w:rsidP="61C9ED91" w:rsidRDefault="2FCAC485" w14:paraId="4A9539BF" w14:textId="1C3426E3">
      <w:pPr>
        <w:pStyle w:val="Normal"/>
        <w:spacing w:after="0" w:afterAutospacing="off" w:line="240" w:lineRule="auto"/>
        <w:rPr>
          <w:rFonts w:ascii="Times New Roman" w:hAnsi="Times New Roman" w:eastAsia="Times New Roman" w:cs="Times New Roman"/>
          <w:noProof w:val="0"/>
          <w:color w:val="auto"/>
          <w:sz w:val="24"/>
          <w:szCs w:val="24"/>
          <w:lang w:val="en-US"/>
        </w:rPr>
      </w:pPr>
      <w:r w:rsidRPr="61C9ED91" w:rsidR="2FCAC485">
        <w:rPr>
          <w:rFonts w:ascii="Times New Roman" w:hAnsi="Times New Roman" w:eastAsia="Times New Roman" w:cs="Times New Roman"/>
          <w:noProof w:val="0"/>
          <w:color w:val="auto"/>
          <w:sz w:val="24"/>
          <w:szCs w:val="24"/>
          <w:lang w:val="en-US"/>
        </w:rPr>
        <w:t>hunting and fishing in Penobscot Bay, Maine. Maine State Museum: Maine</w:t>
      </w:r>
    </w:p>
    <w:p w:rsidR="2FCAC485" w:rsidP="61C9ED91" w:rsidRDefault="2FCAC485" w14:paraId="01B15CC5" w14:textId="1CA16780">
      <w:pPr>
        <w:pStyle w:val="Normal"/>
        <w:spacing w:after="0" w:afterAutospacing="off" w:line="240" w:lineRule="auto"/>
        <w:rPr>
          <w:rFonts w:ascii="Times New Roman" w:hAnsi="Times New Roman" w:eastAsia="Times New Roman" w:cs="Times New Roman"/>
          <w:noProof w:val="0"/>
          <w:color w:val="auto"/>
          <w:sz w:val="24"/>
          <w:szCs w:val="24"/>
          <w:lang w:val="en-US"/>
        </w:rPr>
      </w:pPr>
      <w:r w:rsidRPr="61C9ED91" w:rsidR="2FCAC485">
        <w:rPr>
          <w:rFonts w:ascii="Times New Roman" w:hAnsi="Times New Roman" w:eastAsia="Times New Roman" w:cs="Times New Roman"/>
          <w:noProof w:val="0"/>
          <w:color w:val="auto"/>
          <w:sz w:val="24"/>
          <w:szCs w:val="24"/>
          <w:lang w:val="en-US"/>
        </w:rPr>
        <w:t>Historic Preservation Commission: Maine Archaeological Society.</w:t>
      </w:r>
    </w:p>
    <w:p w:rsidR="61C9ED91" w:rsidP="61C9ED91" w:rsidRDefault="61C9ED91" w14:paraId="4AB9DB9B" w14:textId="1C0A912B">
      <w:pPr>
        <w:pStyle w:val="Normal"/>
        <w:spacing w:after="0" w:afterAutospacing="off" w:line="240" w:lineRule="auto"/>
        <w:rPr>
          <w:rFonts w:ascii="Times New Roman" w:hAnsi="Times New Roman" w:eastAsia="Times New Roman" w:cs="Times New Roman"/>
          <w:noProof w:val="0"/>
          <w:color w:val="auto"/>
          <w:sz w:val="24"/>
          <w:szCs w:val="24"/>
          <w:lang w:val="en-US"/>
        </w:rPr>
      </w:pPr>
    </w:p>
    <w:p w:rsidR="6BBF0976" w:rsidP="61C9ED91" w:rsidRDefault="6BBF0976" w14:paraId="5D20D4D5" w14:textId="77E065CE">
      <w:pPr>
        <w:spacing w:after="0" w:afterAutospacing="off" w:line="240" w:lineRule="auto"/>
        <w:rPr>
          <w:color w:val="auto"/>
        </w:rPr>
      </w:pP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[14] </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Dockrill</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S. J., &amp; Bond, J. M. (2009). Sustainability and resilience in prehistoric North Atlantic </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britain</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The importance of a mixed </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paleoeconomic</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system. Journal of the North Atlantic, 2, 33–50. </w:t>
      </w:r>
      <w:hyperlink r:id="R83c3261f8a5b4fd1">
        <w:r w:rsidRPr="61C9ED91" w:rsidR="6BBF0976">
          <w:rPr>
            <w:rStyle w:val="Hyperlink"/>
            <w:b w:val="0"/>
            <w:bCs w:val="0"/>
            <w:noProof w:val="0"/>
            <w:color w:val="auto"/>
            <w:lang w:val="en-US"/>
          </w:rPr>
          <w:t>https://doi.org/10.3721/037.002.0105</w:t>
        </w:r>
      </w:hyperlink>
    </w:p>
    <w:p w:rsidR="61C9ED91" w:rsidP="61C9ED91" w:rsidRDefault="61C9ED91" w14:paraId="2DF751A8" w14:textId="60A0BCB8">
      <w:pPr>
        <w:spacing w:after="0" w:afterAutospacing="off" w:line="240" w:lineRule="auto"/>
        <w:rPr>
          <w:b w:val="0"/>
          <w:bCs w:val="0"/>
          <w:noProof w:val="0"/>
          <w:color w:val="auto"/>
          <w:lang w:val="en-US"/>
        </w:rPr>
      </w:pPr>
    </w:p>
    <w:p w:rsidR="682C9A28" w:rsidP="61C9ED91" w:rsidRDefault="682C9A28" w14:paraId="4E819042" w14:textId="56A38989">
      <w:pPr>
        <w:spacing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[15] </w:t>
      </w: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Cox, S. L. (2021). Goddard: A Prehistoric Village Site on Blue Hill Bay, Maine. Maine Historic </w:t>
      </w: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Preservation</w:t>
      </w: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Commission.</w:t>
      </w:r>
    </w:p>
    <w:p w:rsidR="063867D6" w:rsidP="61C9ED91" w:rsidRDefault="063867D6" w14:paraId="2E434DC9" w14:textId="601B1D29">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[16] </w:t>
      </w: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Hamilton, N. D. (1985). Maritime Adaptation in Western Maine: The Great Diamond Island Site </w:t>
      </w: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[PhD].</w:t>
      </w: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University of Pittsburgh.</w:t>
      </w:r>
    </w:p>
    <w:p w:rsidR="61C9ED91" w:rsidP="61C9ED91" w:rsidRDefault="61C9ED91" w14:paraId="11EE3E82" w14:textId="605973DA">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p>
    <w:p w:rsidR="063867D6" w:rsidP="61C9ED91" w:rsidRDefault="063867D6" w14:paraId="276A1DE6" w14:textId="597B7462">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[17] </w:t>
      </w:r>
      <w:r w:rsidRPr="61C9ED91" w:rsidR="074AC370">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Watson, J. E. (2019). Human Interactions with the Late Holocene Landscape on Martha’s</w:t>
      </w:r>
    </w:p>
    <w:p w:rsidR="074AC370" w:rsidP="61C9ED91" w:rsidRDefault="074AC370" w14:paraId="5C75CAE0" w14:textId="41B2E932">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074AC370">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Vineyard [PhD]. University of Albany, State University of New York.</w:t>
      </w:r>
    </w:p>
    <w:p w:rsidR="61C9ED91" w:rsidP="61C9ED91" w:rsidRDefault="61C9ED91" w14:paraId="13FB8A07" w14:textId="739DC1EB">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p>
    <w:p w:rsidR="074AC370" w:rsidP="61C9ED91" w:rsidRDefault="074AC370" w14:paraId="7218C2B6" w14:textId="2C7F065C">
      <w:pPr>
        <w:pStyle w:val="Normal"/>
        <w:spacing w:line="240" w:lineRule="auto"/>
        <w:rPr>
          <w:color w:val="auto"/>
        </w:rPr>
      </w:pPr>
      <w:r w:rsidRPr="61C9ED91" w:rsidR="074AC370">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[18] </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Fischer, A., Gotfredsen, A. B., Meadows, J., Pedersen, L., &amp; Stafford, M. (2021). The </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rødhals</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kitchen midden – marine adaptations at the end of the Mesolithic World. Journal of</w:t>
      </w:r>
      <w:r w:rsidRPr="61C9ED91" w:rsidR="4FF61FB1">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Archaeological Science: Reports, 39. </w:t>
      </w:r>
      <w:hyperlink r:id="Raaf2b78a5b904edd">
        <w:r w:rsidRPr="61C9ED91" w:rsidR="49190333">
          <w:rPr>
            <w:rStyle w:val="Hyperlink"/>
            <w:b w:val="0"/>
            <w:bCs w:val="0"/>
            <w:noProof w:val="0"/>
            <w:color w:val="auto"/>
            <w:lang w:val="en-US"/>
          </w:rPr>
          <w:t>https://doi.org/10.1016/j.jasrep.2021.103102</w:t>
        </w:r>
      </w:hyperlink>
    </w:p>
    <w:p w:rsidR="49190333" w:rsidP="61C9ED91" w:rsidRDefault="49190333" w14:paraId="0C0FE6BB" w14:textId="6ABF3C7A">
      <w:pPr>
        <w:pStyle w:val="Normal"/>
        <w:spacing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[19] </w:t>
      </w:r>
      <w:r w:rsidRPr="61C9ED91" w:rsidR="5FA7CA2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James, H., &amp; McCullagh, R. (2003). Excavations at Hornish Point. Scottish Archaeological</w:t>
      </w:r>
      <w:r w:rsidRPr="61C9ED91" w:rsidR="647B820F">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w:t>
      </w:r>
      <w:r w:rsidRPr="61C9ED91" w:rsidR="5FA7CA2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Internet Reports, 72-103.</w:t>
      </w:r>
    </w:p>
    <w:p w:rsidR="042F6E2E" w:rsidP="61C9ED91" w:rsidRDefault="042F6E2E" w14:paraId="5B13BAEF" w14:textId="6CDB59AB">
      <w:pPr>
        <w:pStyle w:val="Normal"/>
        <w:spacing w:line="240" w:lineRule="auto"/>
        <w:rPr>
          <w:rFonts w:ascii="Times New Roman" w:hAnsi="Times New Roman" w:eastAsia="Times New Roman" w:cs="Times New Roman"/>
          <w:noProof w:val="0"/>
          <w:color w:val="auto"/>
          <w:sz w:val="24"/>
          <w:szCs w:val="24"/>
          <w:lang w:val="en-US"/>
        </w:rPr>
      </w:pPr>
      <w:r w:rsidRPr="61C9ED91" w:rsidR="042F6E2E">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[20] </w:t>
      </w:r>
      <w:r w:rsidRPr="61C9ED91" w:rsidR="042F6E2E">
        <w:rPr>
          <w:rFonts w:ascii="Times New Roman" w:hAnsi="Times New Roman" w:eastAsia="Times New Roman" w:cs="Times New Roman"/>
          <w:noProof w:val="0"/>
          <w:color w:val="auto"/>
          <w:sz w:val="24"/>
          <w:szCs w:val="24"/>
          <w:lang w:val="en-US"/>
        </w:rPr>
        <w:t xml:space="preserve">Bradshaw CJA, Cooper A, Turney CSM, Brook BW. Robust estimates of extinction time in the geological record. Quaternary Science Reviews. 2012 </w:t>
      </w:r>
      <w:r w:rsidRPr="61C9ED91" w:rsidR="042F6E2E">
        <w:rPr>
          <w:rFonts w:ascii="Times New Roman" w:hAnsi="Times New Roman" w:eastAsia="Times New Roman" w:cs="Times New Roman"/>
          <w:noProof w:val="0"/>
          <w:color w:val="auto"/>
          <w:sz w:val="24"/>
          <w:szCs w:val="24"/>
          <w:lang w:val="en-US"/>
        </w:rPr>
        <w:t>Feb;33:14</w:t>
      </w:r>
      <w:r w:rsidRPr="61C9ED91" w:rsidR="042F6E2E">
        <w:rPr>
          <w:rFonts w:ascii="Times New Roman" w:hAnsi="Times New Roman" w:eastAsia="Times New Roman" w:cs="Times New Roman"/>
          <w:noProof w:val="0"/>
          <w:color w:val="auto"/>
          <w:sz w:val="24"/>
          <w:szCs w:val="24"/>
          <w:lang w:val="en-US"/>
        </w:rPr>
        <w:t>–9.</w:t>
      </w:r>
    </w:p>
    <w:p w:rsidR="5F6E5103" w:rsidP="61C9ED91" w:rsidRDefault="5F6E5103" w14:paraId="55833727" w14:textId="1B99E7CA">
      <w:pPr>
        <w:pStyle w:val="Normal"/>
        <w:spacing w:line="240" w:lineRule="auto"/>
        <w:rPr>
          <w:rFonts w:ascii="Times New Roman" w:hAnsi="Times New Roman" w:eastAsia="Times New Roman" w:cs="Times New Roman"/>
          <w:noProof w:val="0"/>
          <w:color w:val="auto"/>
          <w:sz w:val="24"/>
          <w:szCs w:val="24"/>
          <w:lang w:val="en-US"/>
        </w:rPr>
      </w:pPr>
      <w:r w:rsidRPr="61C9ED91" w:rsidR="5F6E5103">
        <w:rPr>
          <w:rFonts w:ascii="Times New Roman" w:hAnsi="Times New Roman" w:eastAsia="Times New Roman" w:cs="Times New Roman"/>
          <w:noProof w:val="0"/>
          <w:color w:val="auto"/>
          <w:sz w:val="24"/>
          <w:szCs w:val="24"/>
          <w:lang w:val="en-US"/>
        </w:rPr>
        <w:t xml:space="preserve">[21] </w:t>
      </w:r>
      <w:r w:rsidRPr="61C9ED91" w:rsidR="5F6E5103">
        <w:rPr>
          <w:rFonts w:ascii="Times New Roman" w:hAnsi="Times New Roman" w:eastAsia="Times New Roman" w:cs="Times New Roman"/>
          <w:noProof w:val="0"/>
          <w:color w:val="auto"/>
          <w:sz w:val="24"/>
          <w:szCs w:val="24"/>
          <w:lang w:val="en-US"/>
        </w:rPr>
        <w:t>Herrando</w:t>
      </w:r>
      <w:r w:rsidRPr="61C9ED91" w:rsidR="5F6E5103">
        <w:rPr>
          <w:rFonts w:ascii="Times New Roman" w:hAnsi="Times New Roman" w:eastAsia="Times New Roman" w:cs="Times New Roman"/>
          <w:noProof w:val="0"/>
          <w:color w:val="auto"/>
          <w:sz w:val="24"/>
          <w:szCs w:val="24"/>
          <w:lang w:val="en-US"/>
        </w:rPr>
        <w:t xml:space="preserve">–Pérez S, </w:t>
      </w:r>
      <w:r w:rsidRPr="61C9ED91" w:rsidR="5F6E5103">
        <w:rPr>
          <w:rFonts w:ascii="Times New Roman" w:hAnsi="Times New Roman" w:eastAsia="Times New Roman" w:cs="Times New Roman"/>
          <w:noProof w:val="0"/>
          <w:color w:val="auto"/>
          <w:sz w:val="24"/>
          <w:szCs w:val="24"/>
          <w:lang w:val="en-US"/>
        </w:rPr>
        <w:t>Saltré</w:t>
      </w:r>
      <w:r w:rsidRPr="61C9ED91" w:rsidR="5F6E5103">
        <w:rPr>
          <w:rFonts w:ascii="Times New Roman" w:hAnsi="Times New Roman" w:eastAsia="Times New Roman" w:cs="Times New Roman"/>
          <w:noProof w:val="0"/>
          <w:color w:val="auto"/>
          <w:sz w:val="24"/>
          <w:szCs w:val="24"/>
          <w:lang w:val="en-US"/>
        </w:rPr>
        <w:t xml:space="preserve"> F. Estimating extinction time using radiocarbon dates. Quaternary Geochronology. 2024 </w:t>
      </w:r>
      <w:r w:rsidRPr="61C9ED91" w:rsidR="5F6E5103">
        <w:rPr>
          <w:rFonts w:ascii="Times New Roman" w:hAnsi="Times New Roman" w:eastAsia="Times New Roman" w:cs="Times New Roman"/>
          <w:noProof w:val="0"/>
          <w:color w:val="auto"/>
          <w:sz w:val="24"/>
          <w:szCs w:val="24"/>
          <w:lang w:val="en-US"/>
        </w:rPr>
        <w:t>Jan;79:101489</w:t>
      </w:r>
      <w:r w:rsidRPr="61C9ED91" w:rsidR="5F6E5103">
        <w:rPr>
          <w:rFonts w:ascii="Times New Roman" w:hAnsi="Times New Roman" w:eastAsia="Times New Roman" w:cs="Times New Roman"/>
          <w:noProof w:val="0"/>
          <w:color w:val="auto"/>
          <w:sz w:val="24"/>
          <w:szCs w:val="24"/>
          <w:lang w:val="en-US"/>
        </w:rPr>
        <w:t>.</w:t>
      </w:r>
    </w:p>
    <w:p w:rsidR="3BB8237D" w:rsidP="61C9ED91" w:rsidRDefault="3BB8237D" w14:paraId="763F46EB" w14:textId="73F10BAC">
      <w:pPr>
        <w:pStyle w:val="Normal"/>
        <w:spacing w:line="240" w:lineRule="auto"/>
        <w:rPr>
          <w:rFonts w:ascii="Times New Roman" w:hAnsi="Times New Roman" w:eastAsia="Times New Roman" w:cs="Times New Roman"/>
          <w:noProof w:val="0"/>
          <w:color w:val="auto"/>
          <w:sz w:val="24"/>
          <w:szCs w:val="24"/>
          <w:lang w:val="en-US"/>
        </w:rPr>
      </w:pPr>
      <w:r w:rsidRPr="61C9ED91" w:rsidR="3BB8237D">
        <w:rPr>
          <w:rFonts w:ascii="Times New Roman" w:hAnsi="Times New Roman" w:eastAsia="Times New Roman" w:cs="Times New Roman"/>
          <w:noProof w:val="0"/>
          <w:color w:val="auto"/>
          <w:sz w:val="24"/>
          <w:szCs w:val="24"/>
          <w:lang w:val="en-US"/>
        </w:rPr>
        <w:t xml:space="preserve">[22] R Core Team. R: A Language and Environment for Statistical Computing. R Foundation for Statistical Computing. Vienna, Austria. 2024. Available from: </w:t>
      </w:r>
      <w:hyperlink r:id="R9f31f2287ebd4558">
        <w:r w:rsidRPr="61C9ED91" w:rsidR="3BB8237D">
          <w:rPr>
            <w:rStyle w:val="Hyperlink"/>
            <w:noProof w:val="0"/>
            <w:color w:val="auto"/>
            <w:lang w:val="en-US"/>
          </w:rPr>
          <w:t>https://www.R–project.org/</w:t>
        </w:r>
      </w:hyperlink>
      <w:r w:rsidRPr="61C9ED91" w:rsidR="3BB8237D">
        <w:rPr>
          <w:rFonts w:ascii="Times New Roman" w:hAnsi="Times New Roman" w:eastAsia="Times New Roman" w:cs="Times New Roman"/>
          <w:noProof w:val="0"/>
          <w:color w:val="auto"/>
          <w:sz w:val="24"/>
          <w:szCs w:val="24"/>
          <w:lang w:val="en-US"/>
        </w:rPr>
        <w:t>.</w:t>
      </w:r>
    </w:p>
    <w:p w:rsidR="0E36E4F9" w:rsidP="61C9ED91" w:rsidRDefault="0E36E4F9" w14:paraId="70CAEA22" w14:textId="6C8C999E">
      <w:pPr>
        <w:pStyle w:val="Normal"/>
        <w:spacing w:line="240" w:lineRule="auto"/>
        <w:rPr>
          <w:color w:val="auto"/>
        </w:rPr>
      </w:pPr>
      <w:r w:rsidRPr="61C9ED91" w:rsidR="0E36E4F9">
        <w:rPr>
          <w:rFonts w:ascii="Times New Roman" w:hAnsi="Times New Roman" w:eastAsia="Times New Roman" w:cs="Times New Roman"/>
          <w:noProof w:val="0"/>
          <w:color w:val="auto"/>
          <w:sz w:val="24"/>
          <w:szCs w:val="24"/>
          <w:lang w:val="en-US"/>
        </w:rPr>
        <w:t xml:space="preserve">[23] What is GBIF? [Internet]. [cited 2024 Mar 27]. Available from: </w:t>
      </w:r>
      <w:hyperlink r:id="R40382e2c941c4b0f">
        <w:r w:rsidRPr="61C9ED91" w:rsidR="0E36E4F9">
          <w:rPr>
            <w:rStyle w:val="Hyperlink"/>
            <w:noProof w:val="0"/>
            <w:color w:val="auto"/>
            <w:lang w:val="en-US"/>
          </w:rPr>
          <w:t>https://www.gbif.org/what–is–gbif</w:t>
        </w:r>
      </w:hyperlink>
    </w:p>
    <w:p w:rsidR="37949189" w:rsidP="61C9ED91" w:rsidRDefault="37949189" w14:paraId="3E177F1A" w14:textId="5370DFED">
      <w:pPr>
        <w:pStyle w:val="Normal"/>
        <w:spacing w:line="240" w:lineRule="auto"/>
        <w:rPr>
          <w:rFonts w:ascii="Times New Roman" w:hAnsi="Times New Roman" w:eastAsia="Times New Roman" w:cs="Times New Roman"/>
          <w:noProof w:val="0"/>
          <w:color w:val="auto"/>
          <w:sz w:val="24"/>
          <w:szCs w:val="24"/>
          <w:lang w:val="en-US"/>
        </w:rPr>
      </w:pPr>
      <w:r w:rsidRPr="61C9ED91" w:rsidR="37949189">
        <w:rPr>
          <w:rFonts w:ascii="Times New Roman" w:hAnsi="Times New Roman" w:eastAsia="Times New Roman" w:cs="Times New Roman"/>
          <w:noProof w:val="0"/>
          <w:color w:val="auto"/>
          <w:sz w:val="24"/>
          <w:szCs w:val="24"/>
          <w:lang w:val="en-US"/>
        </w:rPr>
        <w:t xml:space="preserve">[24] Rios N, Bart H. </w:t>
      </w:r>
      <w:r w:rsidRPr="61C9ED91" w:rsidR="37949189">
        <w:rPr>
          <w:rFonts w:ascii="Times New Roman" w:hAnsi="Times New Roman" w:eastAsia="Times New Roman" w:cs="Times New Roman"/>
          <w:noProof w:val="0"/>
          <w:color w:val="auto"/>
          <w:sz w:val="24"/>
          <w:szCs w:val="24"/>
          <w:lang w:val="en-US"/>
        </w:rPr>
        <w:t>GEOLocate</w:t>
      </w:r>
      <w:r w:rsidRPr="61C9ED91" w:rsidR="37949189">
        <w:rPr>
          <w:rFonts w:ascii="Times New Roman" w:hAnsi="Times New Roman" w:eastAsia="Times New Roman" w:cs="Times New Roman"/>
          <w:noProof w:val="0"/>
          <w:color w:val="auto"/>
          <w:sz w:val="24"/>
          <w:szCs w:val="24"/>
          <w:lang w:val="en-US"/>
        </w:rPr>
        <w:t xml:space="preserve">. Belle Chasse, LA: Tulane University Museum of Natural </w:t>
      </w:r>
      <w:r w:rsidRPr="61C9ED91" w:rsidR="37949189">
        <w:rPr>
          <w:rFonts w:ascii="Times New Roman" w:hAnsi="Times New Roman" w:eastAsia="Times New Roman" w:cs="Times New Roman"/>
          <w:noProof w:val="0"/>
          <w:color w:val="auto"/>
          <w:sz w:val="24"/>
          <w:szCs w:val="24"/>
          <w:lang w:val="en-US"/>
        </w:rPr>
        <w:t>History.;</w:t>
      </w:r>
      <w:r w:rsidRPr="61C9ED91" w:rsidR="37949189">
        <w:rPr>
          <w:rFonts w:ascii="Times New Roman" w:hAnsi="Times New Roman" w:eastAsia="Times New Roman" w:cs="Times New Roman"/>
          <w:noProof w:val="0"/>
          <w:color w:val="auto"/>
          <w:sz w:val="24"/>
          <w:szCs w:val="24"/>
          <w:lang w:val="en-US"/>
        </w:rPr>
        <w:t xml:space="preserve"> 2010.</w:t>
      </w:r>
    </w:p>
    <w:p w:rsidR="06207540" w:rsidP="61C9ED91" w:rsidRDefault="06207540" w14:paraId="6D770BD1" w14:textId="06A656C7">
      <w:pPr>
        <w:spacing w:line="240" w:lineRule="auto"/>
        <w:rPr>
          <w:color w:val="auto"/>
        </w:rPr>
      </w:pPr>
      <w:r w:rsidRPr="61C9ED91" w:rsidR="06207540">
        <w:rPr>
          <w:rFonts w:ascii="Times New Roman" w:hAnsi="Times New Roman" w:eastAsia="Times New Roman" w:cs="Times New Roman"/>
          <w:noProof w:val="0"/>
          <w:color w:val="auto"/>
          <w:sz w:val="24"/>
          <w:szCs w:val="24"/>
          <w:lang w:val="en-US"/>
        </w:rPr>
        <w:t>[25] The First Relation of Jaques Carthier of S. Malo, 1534 [Internet]. Wisconsin Historical Society; 1534. (Original Narratives of Early American History). Available from:</w:t>
      </w:r>
      <w:hyperlink r:id="R425f5b587a414fc6">
        <w:r w:rsidRPr="61C9ED91" w:rsidR="06207540">
          <w:rPr>
            <w:rStyle w:val="Hyperlink"/>
            <w:noProof w:val="0"/>
            <w:color w:val="auto"/>
            <w:lang w:val="en-US"/>
          </w:rPr>
          <w:t xml:space="preserve"> </w:t>
        </w:r>
      </w:hyperlink>
      <w:hyperlink r:id="Rdfb848e570ba43bc">
        <w:r w:rsidRPr="61C9ED91" w:rsidR="06207540">
          <w:rPr>
            <w:rStyle w:val="Hyperlink"/>
            <w:noProof w:val="0"/>
            <w:color w:val="auto"/>
            <w:lang w:val="en-US"/>
          </w:rPr>
          <w:t>http://www.americanjourneys.org/aj–026/</w:t>
        </w:r>
      </w:hyperlink>
    </w:p>
    <w:p w:rsidR="3A64EDFB" w:rsidP="61C9ED91" w:rsidRDefault="3A64EDFB" w14:paraId="74503244" w14:textId="788D3990">
      <w:pPr>
        <w:spacing w:line="240" w:lineRule="auto"/>
        <w:ind w:left="0" w:right="80"/>
        <w:rPr>
          <w:color w:val="auto"/>
        </w:rPr>
      </w:pPr>
      <w:r w:rsidRPr="61C9ED91" w:rsidR="3A64EDFB">
        <w:rPr>
          <w:rFonts w:ascii="Times New Roman" w:hAnsi="Times New Roman" w:eastAsia="Times New Roman" w:cs="Times New Roman"/>
          <w:noProof w:val="0"/>
          <w:color w:val="auto"/>
          <w:sz w:val="24"/>
          <w:szCs w:val="24"/>
          <w:lang w:val="en-US"/>
        </w:rPr>
        <w:t xml:space="preserve">[26] Solow AR, Beet AR. On Uncertain Sightings and Inference about Extinction. Conservation Biology. 2014;28(4):1119–1123. </w:t>
      </w:r>
      <w:hyperlink r:id="R8f4222675aff4fb2">
        <w:r w:rsidRPr="61C9ED91" w:rsidR="3A64EDFB">
          <w:rPr>
            <w:rStyle w:val="Hyperlink"/>
            <w:noProof w:val="0"/>
            <w:color w:val="auto"/>
            <w:lang w:val="en-US"/>
          </w:rPr>
          <w:t>http://www.jstor.org/stable/24480090</w:t>
        </w:r>
      </w:hyperlink>
    </w:p>
    <w:p w:rsidR="494664B6" w:rsidP="61C9ED91" w:rsidRDefault="494664B6" w14:paraId="595D6CA4" w14:textId="0BDEA865">
      <w:pPr>
        <w:spacing w:line="240" w:lineRule="auto"/>
        <w:rPr>
          <w:color w:val="auto"/>
        </w:rPr>
      </w:pPr>
      <w:r w:rsidRPr="61C9ED91" w:rsidR="494664B6">
        <w:rPr>
          <w:rFonts w:ascii="Times New Roman" w:hAnsi="Times New Roman" w:eastAsia="Times New Roman" w:cs="Times New Roman"/>
          <w:noProof w:val="0"/>
          <w:color w:val="auto"/>
          <w:sz w:val="24"/>
          <w:szCs w:val="24"/>
          <w:lang w:val="en-US"/>
        </w:rPr>
        <w:t xml:space="preserve">[27] Turvey ST, </w:t>
      </w:r>
      <w:r w:rsidRPr="61C9ED91" w:rsidR="494664B6">
        <w:rPr>
          <w:rFonts w:ascii="Times New Roman" w:hAnsi="Times New Roman" w:eastAsia="Times New Roman" w:cs="Times New Roman"/>
          <w:noProof w:val="0"/>
          <w:color w:val="auto"/>
          <w:sz w:val="24"/>
          <w:szCs w:val="24"/>
          <w:lang w:val="en-US"/>
        </w:rPr>
        <w:t>Cheke</w:t>
      </w:r>
      <w:r w:rsidRPr="61C9ED91" w:rsidR="494664B6">
        <w:rPr>
          <w:rFonts w:ascii="Times New Roman" w:hAnsi="Times New Roman" w:eastAsia="Times New Roman" w:cs="Times New Roman"/>
          <w:noProof w:val="0"/>
          <w:color w:val="auto"/>
          <w:sz w:val="24"/>
          <w:szCs w:val="24"/>
          <w:lang w:val="en-US"/>
        </w:rPr>
        <w:t xml:space="preserve"> AS. Dead as a dodo: the fortuitous rise to fame of an extinction icon. Historical Biology. 2008 Jun;20(2):149–63. </w:t>
      </w:r>
      <w:r w:rsidRPr="61C9ED91" w:rsidR="494664B6">
        <w:rPr>
          <w:rFonts w:ascii="Times New Roman" w:hAnsi="Times New Roman" w:eastAsia="Times New Roman" w:cs="Times New Roman"/>
          <w:noProof w:val="0"/>
          <w:color w:val="auto"/>
          <w:sz w:val="24"/>
          <w:szCs w:val="24"/>
          <w:lang w:val="en-US"/>
        </w:rPr>
        <w:t>doi</w:t>
      </w:r>
      <w:r w:rsidRPr="61C9ED91" w:rsidR="494664B6">
        <w:rPr>
          <w:rFonts w:ascii="Times New Roman" w:hAnsi="Times New Roman" w:eastAsia="Times New Roman" w:cs="Times New Roman"/>
          <w:noProof w:val="0"/>
          <w:color w:val="auto"/>
          <w:sz w:val="24"/>
          <w:szCs w:val="24"/>
          <w:lang w:val="en-US"/>
        </w:rPr>
        <w:t>:</w:t>
      </w:r>
      <w:hyperlink r:id="Rd1b8c76edcf24317">
        <w:r w:rsidRPr="61C9ED91" w:rsidR="494664B6">
          <w:rPr>
            <w:rStyle w:val="Hyperlink"/>
            <w:strike w:val="0"/>
            <w:dstrike w:val="0"/>
            <w:noProof w:val="0"/>
            <w:color w:val="auto"/>
            <w:u w:val="single"/>
            <w:lang w:val="en-US"/>
          </w:rPr>
          <w:t>10.1080/08912960802376199</w:t>
        </w:r>
      </w:hyperlink>
    </w:p>
    <w:p w:rsidR="61C9ED91" w:rsidP="61C9ED91" w:rsidRDefault="61C9ED91" w14:paraId="285929CD" w14:textId="2CF9AE8F">
      <w:pPr>
        <w:spacing w:line="240" w:lineRule="auto"/>
        <w:rPr>
          <w:rFonts w:ascii="Times New Roman" w:hAnsi="Times New Roman" w:eastAsia="Times New Roman" w:cs="Times New Roman"/>
          <w:noProof w:val="0"/>
          <w:color w:val="auto"/>
          <w:sz w:val="24"/>
          <w:szCs w:val="24"/>
          <w:lang w:val="en-US"/>
        </w:rPr>
      </w:pPr>
    </w:p>
    <w:p w:rsidR="61C9ED91" w:rsidP="61C9ED91" w:rsidRDefault="61C9ED91" w14:paraId="62695CB1" w14:textId="6ED27C01">
      <w:pPr>
        <w:pStyle w:val="Normal"/>
        <w:spacing w:line="240" w:lineRule="auto"/>
        <w:rPr>
          <w:noProof w:val="0"/>
          <w:color w:val="auto"/>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015F"/>
    <w:rsid w:val="00A06B99"/>
    <w:rsid w:val="0244CBDF"/>
    <w:rsid w:val="02A76A19"/>
    <w:rsid w:val="02C5FF1E"/>
    <w:rsid w:val="02E13294"/>
    <w:rsid w:val="042F6E2E"/>
    <w:rsid w:val="05C7E3D6"/>
    <w:rsid w:val="06207540"/>
    <w:rsid w:val="063867D6"/>
    <w:rsid w:val="074AC370"/>
    <w:rsid w:val="084CFB64"/>
    <w:rsid w:val="08B07D9C"/>
    <w:rsid w:val="08FCCBBE"/>
    <w:rsid w:val="09857AA2"/>
    <w:rsid w:val="098D0166"/>
    <w:rsid w:val="09CE66FD"/>
    <w:rsid w:val="0B469C38"/>
    <w:rsid w:val="0C172D92"/>
    <w:rsid w:val="0C4D9F28"/>
    <w:rsid w:val="0C87B5E7"/>
    <w:rsid w:val="0CA818D2"/>
    <w:rsid w:val="0DC4BB16"/>
    <w:rsid w:val="0E36E4F9"/>
    <w:rsid w:val="0F07D524"/>
    <w:rsid w:val="0F40B04A"/>
    <w:rsid w:val="1087D93F"/>
    <w:rsid w:val="17A3807B"/>
    <w:rsid w:val="194851A4"/>
    <w:rsid w:val="19BC6278"/>
    <w:rsid w:val="19F595CA"/>
    <w:rsid w:val="19F6C0C9"/>
    <w:rsid w:val="1A27B82D"/>
    <w:rsid w:val="1A3BEB9F"/>
    <w:rsid w:val="1B9A2975"/>
    <w:rsid w:val="1BC91C5F"/>
    <w:rsid w:val="1C49D966"/>
    <w:rsid w:val="1D850744"/>
    <w:rsid w:val="1DFFABFC"/>
    <w:rsid w:val="1E07305B"/>
    <w:rsid w:val="1FD5A27D"/>
    <w:rsid w:val="221CE64F"/>
    <w:rsid w:val="22659F28"/>
    <w:rsid w:val="2269323A"/>
    <w:rsid w:val="22F98B18"/>
    <w:rsid w:val="23CEC3CA"/>
    <w:rsid w:val="24338926"/>
    <w:rsid w:val="24561A83"/>
    <w:rsid w:val="257CAC69"/>
    <w:rsid w:val="2600F801"/>
    <w:rsid w:val="26B7F94D"/>
    <w:rsid w:val="272F9016"/>
    <w:rsid w:val="276E872E"/>
    <w:rsid w:val="27D3E1F5"/>
    <w:rsid w:val="291726E3"/>
    <w:rsid w:val="29483EE9"/>
    <w:rsid w:val="29B0A0B7"/>
    <w:rsid w:val="2A82F441"/>
    <w:rsid w:val="2AAD6143"/>
    <w:rsid w:val="2BEED5DD"/>
    <w:rsid w:val="2D6300C6"/>
    <w:rsid w:val="2E77C86C"/>
    <w:rsid w:val="2F09A388"/>
    <w:rsid w:val="2F469014"/>
    <w:rsid w:val="2FCAC485"/>
    <w:rsid w:val="30437DFA"/>
    <w:rsid w:val="313FBE60"/>
    <w:rsid w:val="3148038F"/>
    <w:rsid w:val="3213295B"/>
    <w:rsid w:val="322410D9"/>
    <w:rsid w:val="32407B80"/>
    <w:rsid w:val="325C827F"/>
    <w:rsid w:val="328137F5"/>
    <w:rsid w:val="33DE6833"/>
    <w:rsid w:val="34267DBD"/>
    <w:rsid w:val="343204C7"/>
    <w:rsid w:val="3537A576"/>
    <w:rsid w:val="355C2934"/>
    <w:rsid w:val="37949189"/>
    <w:rsid w:val="37D82787"/>
    <w:rsid w:val="3865B34A"/>
    <w:rsid w:val="387C484B"/>
    <w:rsid w:val="39017CE7"/>
    <w:rsid w:val="39549E4F"/>
    <w:rsid w:val="3968697E"/>
    <w:rsid w:val="3A64EDFB"/>
    <w:rsid w:val="3A86CFA8"/>
    <w:rsid w:val="3BB8237D"/>
    <w:rsid w:val="3C5C984A"/>
    <w:rsid w:val="3D0BDF22"/>
    <w:rsid w:val="40811273"/>
    <w:rsid w:val="439140AC"/>
    <w:rsid w:val="43AE2EB9"/>
    <w:rsid w:val="43C3CB79"/>
    <w:rsid w:val="43F8191E"/>
    <w:rsid w:val="44069B13"/>
    <w:rsid w:val="44A7291C"/>
    <w:rsid w:val="465922AE"/>
    <w:rsid w:val="46879E13"/>
    <w:rsid w:val="468BC75A"/>
    <w:rsid w:val="46DBC7BC"/>
    <w:rsid w:val="47537136"/>
    <w:rsid w:val="4780ABF3"/>
    <w:rsid w:val="4830C62A"/>
    <w:rsid w:val="4879B5B8"/>
    <w:rsid w:val="48EF2D22"/>
    <w:rsid w:val="49164645"/>
    <w:rsid w:val="49190333"/>
    <w:rsid w:val="494664B6"/>
    <w:rsid w:val="4983B4A7"/>
    <w:rsid w:val="4A06CC9E"/>
    <w:rsid w:val="4A29CCAC"/>
    <w:rsid w:val="4A34411E"/>
    <w:rsid w:val="4BAA35CB"/>
    <w:rsid w:val="4C0F9BED"/>
    <w:rsid w:val="4C851B98"/>
    <w:rsid w:val="4CCA014E"/>
    <w:rsid w:val="4D8D698C"/>
    <w:rsid w:val="4D9D372E"/>
    <w:rsid w:val="4DD72B24"/>
    <w:rsid w:val="4EC65B96"/>
    <w:rsid w:val="4F82BABA"/>
    <w:rsid w:val="4FF61FB1"/>
    <w:rsid w:val="51EF8542"/>
    <w:rsid w:val="52353D6A"/>
    <w:rsid w:val="523FE3B4"/>
    <w:rsid w:val="524F65C5"/>
    <w:rsid w:val="527A188F"/>
    <w:rsid w:val="5358C16E"/>
    <w:rsid w:val="5361AD7A"/>
    <w:rsid w:val="541EFDD7"/>
    <w:rsid w:val="54D33CA9"/>
    <w:rsid w:val="55835620"/>
    <w:rsid w:val="56C47494"/>
    <w:rsid w:val="589C86A7"/>
    <w:rsid w:val="5924F8FA"/>
    <w:rsid w:val="5967722D"/>
    <w:rsid w:val="5B1940B0"/>
    <w:rsid w:val="5C07659D"/>
    <w:rsid w:val="5CF3A85F"/>
    <w:rsid w:val="5D1F42DF"/>
    <w:rsid w:val="5D4EE20B"/>
    <w:rsid w:val="5D5B656F"/>
    <w:rsid w:val="5E726602"/>
    <w:rsid w:val="5E9DD34F"/>
    <w:rsid w:val="5EBE5302"/>
    <w:rsid w:val="5F47889A"/>
    <w:rsid w:val="5F6E5103"/>
    <w:rsid w:val="5F8A59B0"/>
    <w:rsid w:val="5F9D3BE7"/>
    <w:rsid w:val="5FA7CA26"/>
    <w:rsid w:val="6007926A"/>
    <w:rsid w:val="6046E47E"/>
    <w:rsid w:val="60757BF5"/>
    <w:rsid w:val="61C9ED91"/>
    <w:rsid w:val="62F6267B"/>
    <w:rsid w:val="634DBB23"/>
    <w:rsid w:val="647B820F"/>
    <w:rsid w:val="657532D0"/>
    <w:rsid w:val="658679E2"/>
    <w:rsid w:val="65C46640"/>
    <w:rsid w:val="6726C271"/>
    <w:rsid w:val="680B2702"/>
    <w:rsid w:val="682C9A28"/>
    <w:rsid w:val="68632642"/>
    <w:rsid w:val="6971AF9A"/>
    <w:rsid w:val="69A2C0A1"/>
    <w:rsid w:val="69F520BB"/>
    <w:rsid w:val="6ADB8E78"/>
    <w:rsid w:val="6BBF0976"/>
    <w:rsid w:val="6E460004"/>
    <w:rsid w:val="6FA83E9E"/>
    <w:rsid w:val="70538BDE"/>
    <w:rsid w:val="70BD5DCA"/>
    <w:rsid w:val="70C8B298"/>
    <w:rsid w:val="71485E61"/>
    <w:rsid w:val="72844217"/>
    <w:rsid w:val="72CF6C46"/>
    <w:rsid w:val="776E5EE1"/>
    <w:rsid w:val="777D015F"/>
    <w:rsid w:val="77F54E24"/>
    <w:rsid w:val="782BAB5F"/>
    <w:rsid w:val="787F2494"/>
    <w:rsid w:val="796B8BC9"/>
    <w:rsid w:val="797C3B9B"/>
    <w:rsid w:val="79E139FC"/>
    <w:rsid w:val="7B088972"/>
    <w:rsid w:val="7B83B5C6"/>
    <w:rsid w:val="7C6BCC61"/>
    <w:rsid w:val="7CB89483"/>
    <w:rsid w:val="7D39E484"/>
    <w:rsid w:val="7DB2E091"/>
    <w:rsid w:val="7EB7CF35"/>
    <w:rsid w:val="7EBC92AF"/>
    <w:rsid w:val="7EDA5D06"/>
    <w:rsid w:val="7F642FEC"/>
    <w:rsid w:val="7F652626"/>
    <w:rsid w:val="7F86A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8BAF"/>
  <w15:chartTrackingRefBased/>
  <w15:docId w15:val="{79C0AA71-DDA8-45BF-A8D6-2430427CE4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87C484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7C484B"/>
    <w:pPr>
      <w:spacing/>
      <w:ind w:left="720"/>
      <w:contextualSpacing/>
    </w:pPr>
  </w:style>
  <w:style w:type="character" w:styleId="Hyperlink">
    <w:uiPriority w:val="99"/>
    <w:name w:val="Hyperlink"/>
    <w:basedOn w:val="DefaultParagraphFont"/>
    <w:unhideWhenUsed/>
    <w:rsid w:val="387C48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tionary.org/wiki/%CE%94" TargetMode="External" Id="Rb3f77fe6623f4175" /><Relationship Type="http://schemas.openxmlformats.org/officeDocument/2006/relationships/hyperlink" Target="https://www.canadianarchaeology.ca/" TargetMode="External" Id="R7f69d2f496c74b86" /><Relationship Type="http://schemas.openxmlformats.org/officeDocument/2006/relationships/hyperlink" Target="https://www.gbif.org/dataset/bb5b30b4-827e-4d5e-a86a-825d65cb6583" TargetMode="External" Id="R4002aa5b60ee45d4" /><Relationship Type="http://schemas.openxmlformats.org/officeDocument/2006/relationships/hyperlink" Target="https://www.gbif.org/dataset/bb5b30b4-827e-4d5e-a86a-825d65cb6583" TargetMode="External" Id="R6141fbb1d7584c8e" /><Relationship Type="http://schemas.openxmlformats.org/officeDocument/2006/relationships/hyperlink" Target="https://doi.org/10.1111/j.1475-4754.1978.tb00208.x" TargetMode="External" Id="Rd50e570fc36b4157" /><Relationship Type="http://schemas.openxmlformats.org/officeDocument/2006/relationships/hyperlink" Target="https://doi.org/10.1038/nature17176" TargetMode="External" Id="R88936c267bcf475a" /><Relationship Type="http://schemas.openxmlformats.org/officeDocument/2006/relationships/hyperlink" Target="http://arxiv.org/abs/2301.07276" TargetMode="External" Id="Rdb769613369f4489" /><Relationship Type="http://schemas.openxmlformats.org/officeDocument/2006/relationships/hyperlink" Target="https://doi.org/10.48550/arXiv.2301.07276" TargetMode="External" Id="Rc1f892cca0984e2b" /><Relationship Type="http://schemas.openxmlformats.org/officeDocument/2006/relationships/hyperlink" Target="https://doi.org/10.3721/037.002.0105" TargetMode="External" Id="R83c3261f8a5b4fd1" /><Relationship Type="http://schemas.openxmlformats.org/officeDocument/2006/relationships/hyperlink" Target="https://doi.org/10.1016/j.jasrep.2021.103102" TargetMode="External" Id="Raaf2b78a5b904edd" /><Relationship Type="http://schemas.openxmlformats.org/officeDocument/2006/relationships/hyperlink" Target="https://www.r-project.org/" TargetMode="External" Id="R9f31f2287ebd4558" /><Relationship Type="http://schemas.openxmlformats.org/officeDocument/2006/relationships/hyperlink" Target="https://www.gbif.org/what-is-gbif" TargetMode="External" Id="R40382e2c941c4b0f" /><Relationship Type="http://schemas.openxmlformats.org/officeDocument/2006/relationships/hyperlink" Target="http://www.americanjourneys.org/aj-026/" TargetMode="External" Id="R425f5b587a414fc6" /><Relationship Type="http://schemas.openxmlformats.org/officeDocument/2006/relationships/hyperlink" Target="http://www.americanjourneys.org/aj-026/" TargetMode="External" Id="Rdfb848e570ba43bc" /><Relationship Type="http://schemas.openxmlformats.org/officeDocument/2006/relationships/hyperlink" Target="http://www.jstor.org/stable/24480090" TargetMode="External" Id="R8f4222675aff4fb2" /><Relationship Type="http://schemas.openxmlformats.org/officeDocument/2006/relationships/hyperlink" Target="https://doi.org/10.1080/08912960802376199" TargetMode="External" Id="Rd1b8c76edcf243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2026-05-18T07:08:57.0657822Z</dcterms:created>
  <dcterms:modified xsi:type="dcterms:W3CDTF">2026-05-24T19:09:12.5762243Z</dcterms:modified>
  <dc:creator>Lucia Snyderman</dc:creator>
  <lastModifiedBy>Lucia Snyderman</lastModifiedBy>
</coreProperties>
</file>