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C6B4D"/>
          <w:sz w:val="18"/>
        </w:rPr>
        <w:t>ITA CHALLENGE SPRINT · SEMANA 4 · TESTES E PROTÓTIPO V2</w:t>
      </w:r>
    </w:p>
    <w:p>
      <w:pPr>
        <w:pStyle w:val="Title"/>
      </w:pPr>
      <w:r>
        <w:t>Testamos o protótipo contra a realidade — e ele mudou.</w:t>
      </w:r>
    </w:p>
    <w:p>
      <w:r>
        <w:rPr>
          <w:color w:val="586A60"/>
          <w:sz w:val="26"/>
        </w:rPr>
        <w:t>GerencIA V2: a comparação com o processo atual, os testes com casos que o motor nunca</w:t>
        <w:br/>
        <w:t xml:space="preserve">      viu no ajuste, os resultados medidos, o que acertou, o que falhou e seus limites — e as mudanças</w:t>
        <w:br/>
        <w:t xml:space="preserve">      que os testes forçaram, incluindo o comportamento seguro da IA.</w:t>
      </w:r>
    </w:p>
    <w:p>
      <w:r>
        <w:rPr>
          <w:b/>
          <w:color w:val="586A60"/>
          <w:sz w:val="17"/>
        </w:rPr>
        <w:t>688 eventos avaliados (650 da planilha + 38 de coleta ao vivo) · 15/15 casos do gabarito · 98,8% de concordância de nível · dados fictícios (declarado)</w:t>
      </w:r>
    </w:p>
    <w:p>
      <w:r>
        <w:rPr>
          <w:b/>
          <w:color w:val="1C6B4D"/>
          <w:sz w:val="18"/>
        </w:rPr>
        <w:t>PROTÓTIPO V2</w:t>
      </w:r>
    </w:p>
    <w:p>
      <w:pPr>
        <w:pStyle w:val="Heading1"/>
      </w:pPr>
      <w:r>
        <w:t>O que mudou da V1 para a V2</w:t>
      </w:r>
    </w:p>
    <w:p>
      <w:pPr>
        <w:ind w:left="200"/>
      </w:pPr>
      <w:r>
        <w:rPr>
          <w:b/>
        </w:rPr>
        <w:t>A V1 provou que roda; a V2 provou que resiste ao teste.</w:t>
      </w:r>
      <w:r>
        <w:rPr/>
        <w:t xml:space="preserve"> Submetemos o motor</w:t>
        <w:br/>
        <w:t xml:space="preserve">      aos 15 casos oficiais do gabarito (que não entram no ajuste), rodamos os dois motores — Python e navegador —</w:t>
        <w:br/>
        <w:t xml:space="preserve">      evento a evento, e ligamos a captura ao vivo a estações reais: </w:t>
      </w:r>
      <w:r>
        <w:rPr>
          <w:b/>
        </w:rPr>
        <w:t>38 usos de IA</w:t>
      </w:r>
      <w:r>
        <w:rPr/>
        <w:t xml:space="preserve"> entraram pela borda e foram</w:t>
        <w:br/>
        <w:t xml:space="preserve">      avaliados pelo mesmo motor da base. O que os testes revelaram virou mudança: cache de DNS, classificação local</w:t>
        <w:br/>
        <w:t xml:space="preserve">      por LLM on-premise e o par prompt↔resposta na captura.</w:t>
      </w:r>
    </w:p>
    <w:p>
      <w:r>
        <w:rPr>
          <w:b/>
          <w:color w:val="1C6B4D"/>
          <w:sz w:val="18"/>
        </w:rPr>
        <w:t>CRITÉRIO 01 · APLICABILIDADE</w:t>
      </w:r>
    </w:p>
    <w:p>
      <w:pPr>
        <w:pStyle w:val="Heading1"/>
      </w:pPr>
      <w:r>
        <w:t>Comparação com o processo atual</w:t>
      </w:r>
    </w:p>
    <w:p>
      <w:r>
        <w:rPr/>
        <w:t xml:space="preserve">O processo atual da área é </w:t>
      </w:r>
      <w:r>
        <w:rPr>
          <w:b/>
        </w:rPr>
        <w:t>revisão manual sobre planilha</w:t>
      </w:r>
      <w:r>
        <w:rPr/>
        <w:t>: alguém lê os registros, julga caso a caso e</w:t>
        <w:br/>
        <w:t xml:space="preserve">      anota. Três dores tornam isso inviável em escala:</w:t>
      </w:r>
    </w:p>
    <w:p>
      <w:r>
        <w:rPr>
          <w:b/>
          <w:color w:val="1C6B4D"/>
          <w:sz w:val="17"/>
        </w:rPr>
        <w:t xml:space="preserve">[DÓI HOJE]  </w:t>
      </w:r>
      <w:r>
        <w:rPr>
          <w:b/>
          <w:color w:val="0F3B2C"/>
        </w:rPr>
        <w:t>Não escala</w:t>
      </w:r>
    </w:p>
    <w:p>
      <w:pPr>
        <w:ind w:left="280"/>
      </w:pPr>
      <w:r>
        <w:rPr/>
        <w:t>688 eventos a olho são horas de leitura; a cada nova semana, tudo de novo. O motor faz em ~2 s.</w:t>
      </w:r>
    </w:p>
    <w:p>
      <w:r>
        <w:rPr>
          <w:b/>
          <w:color w:val="1C6B4D"/>
          <w:sz w:val="17"/>
        </w:rPr>
        <w:t xml:space="preserve">[DÓI HOJE]  </w:t>
      </w:r>
      <w:r>
        <w:rPr>
          <w:b/>
          <w:color w:val="0F3B2C"/>
        </w:rPr>
        <w:t>Sem o porquê</w:t>
      </w:r>
    </w:p>
    <w:p>
      <w:pPr>
        <w:ind w:left="280"/>
      </w:pPr>
      <w:r>
        <w:rPr/>
        <w:t>A planilha diz o nível, não a razão. Sem a cadeia de evidência, um alerta é opinião — não se audita nem se contesta.</w:t>
      </w:r>
    </w:p>
    <w:p>
      <w:r>
        <w:rPr>
          <w:b/>
          <w:color w:val="1C6B4D"/>
          <w:sz w:val="17"/>
        </w:rPr>
        <w:t xml:space="preserve">[DÓI HOJE]  </w:t>
      </w:r>
      <w:r>
        <w:rPr>
          <w:b/>
          <w:color w:val="0F3B2C"/>
        </w:rPr>
        <w:t>Cego ao shadow AI</w:t>
      </w:r>
    </w:p>
    <w:p>
      <w:pPr>
        <w:ind w:left="280"/>
      </w:pPr>
      <w:r>
        <w:rPr/>
        <w:t>A planilha só tem o que alguém digitou. O uso de IA que acontece fora dela — a maior parte — é invisível.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2520"/>
          </w:tcPr>
          <w:p>
            <w:r>
              <w:rPr>
                <w:b/>
              </w:rPr>
              <w:t>Processo atual (manual)</w:t>
            </w:r>
          </w:p>
        </w:tc>
        <w:tc>
          <w:tcPr>
            <w:tcW w:type="dxa" w:w="2520"/>
          </w:tcPr>
          <w:p>
            <w:r>
              <w:rPr>
                <w:b/>
              </w:rPr>
              <w:t>Alternativa simples (só regras ou só LLM)</w:t>
            </w:r>
          </w:p>
        </w:tc>
        <w:tc>
          <w:tcPr>
            <w:tcW w:type="dxa" w:w="2520"/>
          </w:tcPr>
          <w:p>
            <w:r>
              <w:rPr>
                <w:b/>
              </w:rPr>
              <w:t>GerencIA (cascata)</w:t>
            </w:r>
          </w:p>
        </w:tc>
      </w:tr>
      <w:tr>
        <w:tc>
          <w:tcPr>
            <w:tcW w:type="dxa" w:w="2520"/>
          </w:tcPr>
          <w:p>
            <w:r>
              <w:t>Reaplicar a política a 650 eventos</w:t>
            </w:r>
          </w:p>
        </w:tc>
        <w:tc>
          <w:tcPr>
            <w:tcW w:type="dxa" w:w="2520"/>
          </w:tcPr>
          <w:p>
            <w:r>
              <w:t>horas, sujeito a cansaço</w:t>
            </w:r>
          </w:p>
        </w:tc>
        <w:tc>
          <w:tcPr>
            <w:tcW w:type="dxa" w:w="2520"/>
          </w:tcPr>
          <w:p>
            <w:r>
              <w:t>rápido, mas rígido (regras) ou caro e opaco (LLM)</w:t>
            </w:r>
          </w:p>
        </w:tc>
        <w:tc>
          <w:tcPr>
            <w:tcW w:type="dxa" w:w="2520"/>
          </w:tcPr>
          <w:p>
            <w:r>
              <w:t>~2 s, com evidência</w:t>
            </w:r>
          </w:p>
        </w:tc>
      </w:tr>
      <w:tr>
        <w:tc>
          <w:tcPr>
            <w:tcW w:type="dxa" w:w="2520"/>
          </w:tcPr>
          <w:p>
            <w:r>
              <w:t>Explica cada decisão</w:t>
            </w:r>
          </w:p>
        </w:tc>
        <w:tc>
          <w:tcPr>
            <w:tcW w:type="dxa" w:w="2520"/>
          </w:tcPr>
          <w:p>
            <w:r>
              <w:t>depende de quem olhou</w:t>
            </w:r>
          </w:p>
        </w:tc>
        <w:tc>
          <w:tcPr>
            <w:tcW w:type="dxa" w:w="2520"/>
          </w:tcPr>
          <w:p>
            <w:r>
              <w:t>regras: sim · LLM puro: não</w:t>
            </w:r>
          </w:p>
        </w:tc>
        <w:tc>
          <w:tcPr>
            <w:tcW w:type="dxa" w:w="2520"/>
          </w:tcPr>
          <w:p>
            <w:r>
              <w:t>sim — regra + detectores + fingerprint</w:t>
            </w:r>
          </w:p>
        </w:tc>
      </w:tr>
      <w:tr>
        <w:tc>
          <w:tcPr>
            <w:tcW w:type="dxa" w:w="2520"/>
          </w:tcPr>
          <w:p>
            <w:r>
              <w:t>Linguagem natural (pergunta do auditor)</w:t>
            </w:r>
          </w:p>
        </w:tc>
        <w:tc>
          <w:tcPr>
            <w:tcW w:type="dxa" w:w="2520"/>
          </w:tcPr>
          <w:p>
            <w:r>
              <w:t>manual</w:t>
            </w:r>
          </w:p>
        </w:tc>
        <w:tc>
          <w:tcPr>
            <w:tcW w:type="dxa" w:w="2520"/>
          </w:tcPr>
          <w:p>
            <w:r>
              <w:t>regras: não · LLM: sim</w:t>
            </w:r>
          </w:p>
        </w:tc>
        <w:tc>
          <w:tcPr>
            <w:tcW w:type="dxa" w:w="2520"/>
          </w:tcPr>
          <w:p>
            <w:r>
              <w:t>sim, só no resíduo ambíguo</w:t>
            </w:r>
          </w:p>
        </w:tc>
      </w:tr>
      <w:tr>
        <w:tc>
          <w:tcPr>
            <w:tcW w:type="dxa" w:w="2520"/>
          </w:tcPr>
          <w:p>
            <w:r>
              <w:t>Enxerga uso de IA fora da planilha</w:t>
            </w:r>
          </w:p>
        </w:tc>
        <w:tc>
          <w:tcPr>
            <w:tcW w:type="dxa" w:w="2520"/>
          </w:tcPr>
          <w:p>
            <w:r>
              <w:t>não</w:t>
            </w:r>
          </w:p>
        </w:tc>
        <w:tc>
          <w:tcPr>
            <w:tcW w:type="dxa" w:w="2520"/>
          </w:tcPr>
          <w:p>
            <w:r>
              <w:t>não</w:t>
            </w:r>
          </w:p>
        </w:tc>
        <w:tc>
          <w:tcPr>
            <w:tcW w:type="dxa" w:w="2520"/>
          </w:tcPr>
          <w:p>
            <w:r>
              <w:t>sim — captura ao vivo (38 eventos)</w:t>
            </w:r>
          </w:p>
        </w:tc>
      </w:tr>
      <w:tr>
        <w:tc>
          <w:tcPr>
            <w:tcW w:type="dxa" w:w="2520"/>
          </w:tcPr>
          <w:p>
            <w:r>
              <w:t>Custo por decisão</w:t>
            </w:r>
          </w:p>
        </w:tc>
        <w:tc>
          <w:tcPr>
            <w:tcW w:type="dxa" w:w="2520"/>
          </w:tcPr>
          <w:p>
            <w:r>
              <w:t>tempo humano</w:t>
            </w:r>
          </w:p>
        </w:tc>
        <w:tc>
          <w:tcPr>
            <w:tcW w:type="dxa" w:w="2520"/>
          </w:tcPr>
          <w:p>
            <w:r>
              <w:t>LLM puro: alto e recorrente</w:t>
            </w:r>
          </w:p>
        </w:tc>
        <w:tc>
          <w:tcPr>
            <w:tcW w:type="dxa" w:w="2520"/>
          </w:tcPr>
          <w:p>
            <w:r>
              <w:t>quase zero (regra) + LLM só no resíduo</w:t>
            </w:r>
          </w:p>
        </w:tc>
      </w:tr>
    </w:tbl>
    <w:p/>
    <w:p>
      <w:pPr>
        <w:pStyle w:val="Heading2"/>
      </w:pPr>
      <w:r>
        <w:t>Por que a cascata, e não uma alternativa simples</w:t>
      </w:r>
    </w:p>
    <w:p>
      <w:r>
        <w:rPr>
          <w:b/>
          <w:color w:val="1C6B4D"/>
          <w:sz w:val="17"/>
        </w:rPr>
        <w:t xml:space="preserve">[SÓ REGRAS]  </w:t>
      </w:r>
      <w:r>
        <w:rPr>
          <w:b/>
          <w:color w:val="0F3B2C"/>
        </w:rPr>
        <w:t>Auditável, mas rígida</w:t>
      </w:r>
    </w:p>
    <w:p>
      <w:pPr>
        <w:ind w:left="280"/>
      </w:pPr>
      <w:r>
        <w:rPr/>
        <w:t>Explica tudo, mas não entende a pergunta do auditor em português nem a paráfrase de um documento. Trava no inédito.</w:t>
      </w:r>
    </w:p>
    <w:p>
      <w:r>
        <w:rPr>
          <w:b/>
          <w:color w:val="1C6B4D"/>
          <w:sz w:val="17"/>
        </w:rPr>
        <w:t xml:space="preserve">[SÓ LLM]  </w:t>
      </w:r>
      <w:r>
        <w:rPr>
          <w:b/>
          <w:color w:val="0F3B2C"/>
        </w:rPr>
        <w:t>Flexível, mas opaca</w:t>
      </w:r>
    </w:p>
    <w:p>
      <w:pPr>
        <w:ind w:left="280"/>
      </w:pPr>
      <w:r>
        <w:rPr/>
        <w:t>Entende linguagem, mas é caixa-preta (ruim para governança) e cobra por cada decisão — caro e recorrente.</w:t>
      </w:r>
    </w:p>
    <w:p>
      <w:r>
        <w:rPr>
          <w:b/>
          <w:color w:val="1C6B4D"/>
          <w:sz w:val="17"/>
        </w:rPr>
        <w:t xml:space="preserve">[CASCATA]  </w:t>
      </w:r>
      <w:r>
        <w:rPr>
          <w:b/>
          <w:color w:val="0F3B2C"/>
        </w:rPr>
        <w:t>As duas, e aprende</w:t>
      </w:r>
    </w:p>
    <w:p>
      <w:pPr>
        <w:ind w:left="280"/>
      </w:pPr>
      <w:r>
        <w:rPr/>
        <w:t xml:space="preserve">Regra decide e explica o comum; o LLM cobre só o resíduo ambíguo — e o que resolve </w:t>
      </w:r>
      <w:r>
        <w:rPr>
          <w:b/>
        </w:rPr>
        <w:t>volta a ensinar</w:t>
      </w:r>
      <w:r>
        <w:rPr/>
        <w:t xml:space="preserve"> a regra, baixando o custo com o uso.</w:t>
      </w:r>
    </w:p>
    <w:p>
      <w:r>
        <w:rPr/>
        <w:t xml:space="preserve">Ou seja: a cascata não é um enfeite técnico — é o que torna a solução </w:t>
      </w:r>
      <w:r>
        <w:rPr>
          <w:b/>
        </w:rPr>
        <w:t>aplicável</w:t>
      </w:r>
      <w:r>
        <w:rPr/>
        <w:t xml:space="preserve"> numa área de governança,</w:t>
        <w:br/>
        <w:t xml:space="preserve">      que precisa de decisão explicável e barata, sem abrir mão de entender linguagem natural.</w:t>
      </w:r>
    </w:p>
    <w:p>
      <w:r>
        <w:rPr>
          <w:b/>
          <w:color w:val="1C6B4D"/>
          <w:sz w:val="18"/>
        </w:rPr>
        <w:t>CRITÉRIO 02 · CASOS REPRESENTATIVOS</w:t>
      </w:r>
    </w:p>
    <w:p>
      <w:pPr>
        <w:pStyle w:val="Heading1"/>
      </w:pPr>
      <w:r>
        <w:t>O que foi testado — e o que ficou fora do ajuste</w:t>
      </w:r>
    </w:p>
    <w:p>
      <w:r>
        <w:rPr/>
        <w:t>Dois conjuntos de teste, nenhum deles usado para calibrar o motor:</w:t>
      </w:r>
    </w:p>
    <w:p>
      <w:r>
        <w:rPr>
          <w:b/>
          <w:color w:val="1C6B4D"/>
          <w:sz w:val="17"/>
        </w:rPr>
        <w:t xml:space="preserve">[REFERÊNCIA EXTERNA]  </w:t>
      </w:r>
      <w:r>
        <w:rPr>
          <w:b/>
          <w:color w:val="0F3B2C"/>
        </w:rPr>
        <w:t>15 casos oficiais do gabarito</w:t>
      </w:r>
    </w:p>
    <w:p>
      <w:pPr>
        <w:ind w:left="280"/>
      </w:pPr>
      <w:r>
        <w:rPr/>
        <w:t xml:space="preserve">A banca define o resultado esperado de cada um. São a </w:t>
      </w:r>
      <w:r>
        <w:rPr>
          <w:b/>
        </w:rPr>
        <w:t>verdade de fora</w:t>
      </w:r>
      <w:r>
        <w:rPr/>
        <w:t>: não ajustamos nenhuma regra</w:t>
        <w:br/>
        <w:t xml:space="preserve">          para passar neles — eles existem só para dizer se o motor está certo. </w:t>
      </w:r>
      <w:r>
        <w:rPr>
          <w:b/>
        </w:rPr>
        <w:t>15/15 reproduzidos.</w:t>
      </w:r>
    </w:p>
    <w:p>
      <w:r>
        <w:rPr>
          <w:b/>
          <w:color w:val="1C6B4D"/>
          <w:sz w:val="17"/>
        </w:rPr>
        <w:t xml:space="preserve">[DADOS DO PRESENTE]  </w:t>
      </w:r>
      <w:r>
        <w:rPr>
          <w:b/>
          <w:color w:val="0F3B2C"/>
        </w:rPr>
        <w:t>38 capturas ao vivo</w:t>
      </w:r>
    </w:p>
    <w:p>
      <w:pPr>
        <w:ind w:left="280"/>
      </w:pPr>
      <w:r>
        <w:rPr/>
        <w:t>Usos reais de IA em estações, recebidos pela extensão/coletor. Não são sintéticos e não calibram nada —</w:t>
        <w:br/>
        <w:t xml:space="preserve">          entram pela borda e são avaliados pelo </w:t>
      </w:r>
      <w:r>
        <w:rPr>
          <w:b/>
        </w:rPr>
        <w:t>mesmo motor</w:t>
      </w:r>
      <w:r>
        <w:rPr/>
        <w:t xml:space="preserve"> da base, marcados como </w:t>
      </w:r>
      <w:r>
        <w:rPr>
          <w:rFonts w:ascii="Consolas" w:hAnsi="Consolas"/>
          <w:sz w:val="19"/>
        </w:rPr>
        <w:t>Coleta</w:t>
      </w:r>
      <w:r>
        <w:rPr/>
        <w:t>.</w:t>
      </w:r>
    </w:p>
    <w:p>
      <w:r>
        <w:rPr>
          <w:b/>
        </w:rPr>
        <w:t>Por que importam os casos de fora do ajuste:</w:t>
      </w:r>
      <w:r>
        <w:rPr/>
        <w:t xml:space="preserve"> se o motor fosse calibrado para passar no gabarito, o 15/15</w:t>
        <w:br/>
        <w:t xml:space="preserve">      não provaria nada — seria memorização. Como os 15 casos e as 38 capturas </w:t>
      </w:r>
      <w:r>
        <w:rPr>
          <w:b/>
        </w:rPr>
        <w:t>não tocam</w:t>
      </w:r>
      <w:r>
        <w:rPr/>
        <w:t xml:space="preserve"> nas regras, o resultado</w:t>
        <w:br/>
        <w:t xml:space="preserve">      mede generalização real, não decoreba.</w:t>
      </w:r>
    </w:p>
    <w:p>
      <w:pPr>
        <w:pStyle w:val="Heading2"/>
      </w:pPr>
      <w:r>
        <w:t>Cobertura dos 15 casos do gabarito</w:t>
      </w:r>
    </w:p>
    <w:p>
      <w:r>
        <w:rPr/>
        <w:t>Varrem o espaço do problema — áreas, ferramentas, tipos e sensibilidades diferentes: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Caso</w:t>
            </w:r>
          </w:p>
        </w:tc>
        <w:tc>
          <w:tcPr>
            <w:tcW w:type="dxa" w:w="1680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1680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1680"/>
          </w:tcPr>
          <w:p>
            <w:r>
              <w:rPr>
                <w:b/>
              </w:rPr>
              <w:t>Informação</w:t>
            </w:r>
          </w:p>
        </w:tc>
        <w:tc>
          <w:tcPr>
            <w:tcW w:type="dxa" w:w="1680"/>
          </w:tcPr>
          <w:p>
            <w:r>
              <w:rPr>
                <w:b/>
              </w:rPr>
              <w:t>Esperado</w:t>
            </w:r>
          </w:p>
        </w:tc>
        <w:tc>
          <w:tcPr>
            <w:tcW w:type="dxa" w:w="1680"/>
          </w:tcPr>
          <w:p>
            <w:r>
              <w:rPr>
                <w:b/>
              </w:rPr>
              <w:t>Motor</w:t>
            </w:r>
          </w:p>
        </w:tc>
      </w:tr>
      <w:tr>
        <w:tc>
          <w:tcPr>
            <w:tcW w:type="dxa" w:w="1680"/>
          </w:tcPr>
          <w:p>
            <w:r>
              <w:t>CV01</w:t>
            </w:r>
          </w:p>
        </w:tc>
        <w:tc>
          <w:tcPr>
            <w:tcW w:type="dxa" w:w="1680"/>
          </w:tcPr>
          <w:p>
            <w:r>
              <w:t>Engenharia</w:t>
            </w:r>
          </w:p>
        </w:tc>
        <w:tc>
          <w:tcPr>
            <w:tcW w:type="dxa" w:w="1680"/>
          </w:tcPr>
          <w:p>
            <w:r>
              <w:t>IA Pública A</w:t>
            </w:r>
          </w:p>
        </w:tc>
        <w:tc>
          <w:tcPr>
            <w:tcW w:type="dxa" w:w="1680"/>
          </w:tcPr>
          <w:p>
            <w:r>
              <w:t>Chave/API secret</w:t>
            </w:r>
          </w:p>
        </w:tc>
        <w:tc>
          <w:tcPr>
            <w:tcW w:type="dxa" w:w="1680"/>
          </w:tcPr>
          <w:p>
            <w:r>
              <w:t>Crítico</w:t>
            </w:r>
          </w:p>
        </w:tc>
        <w:tc>
          <w:tcPr>
            <w:tcW w:type="dxa" w:w="1680"/>
          </w:tcPr>
          <w:p>
            <w:r>
              <w:t>✓</w:t>
            </w:r>
          </w:p>
        </w:tc>
      </w:tr>
      <w:tr>
        <w:tc>
          <w:tcPr>
            <w:tcW w:type="dxa" w:w="1680"/>
          </w:tcPr>
          <w:p>
            <w:r>
              <w:t>CV02</w:t>
            </w:r>
          </w:p>
        </w:tc>
        <w:tc>
          <w:tcPr>
            <w:tcW w:type="dxa" w:w="1680"/>
          </w:tcPr>
          <w:p>
            <w:r>
              <w:t>Financeiro</w:t>
            </w:r>
          </w:p>
        </w:tc>
        <w:tc>
          <w:tcPr>
            <w:tcW w:type="dxa" w:w="1680"/>
          </w:tcPr>
          <w:p>
            <w:r>
              <w:t>IA Pública B</w:t>
            </w:r>
          </w:p>
        </w:tc>
        <w:tc>
          <w:tcPr>
            <w:tcW w:type="dxa" w:w="1680"/>
          </w:tcPr>
          <w:p>
            <w:r>
              <w:t>Resultado financeiro não divulgado</w:t>
            </w:r>
          </w:p>
        </w:tc>
        <w:tc>
          <w:tcPr>
            <w:tcW w:type="dxa" w:w="1680"/>
          </w:tcPr>
          <w:p>
            <w:r>
              <w:t>Crítico</w:t>
            </w:r>
          </w:p>
        </w:tc>
        <w:tc>
          <w:tcPr>
            <w:tcW w:type="dxa" w:w="1680"/>
          </w:tcPr>
          <w:p>
            <w:r>
              <w:t>✓</w:t>
            </w:r>
          </w:p>
        </w:tc>
      </w:tr>
      <w:tr>
        <w:tc>
          <w:tcPr>
            <w:tcW w:type="dxa" w:w="1680"/>
          </w:tcPr>
          <w:p>
            <w:r>
              <w:t>CV03</w:t>
            </w:r>
          </w:p>
        </w:tc>
        <w:tc>
          <w:tcPr>
            <w:tcW w:type="dxa" w:w="1680"/>
          </w:tcPr>
          <w:p>
            <w:r>
              <w:t>Pessoas</w:t>
            </w:r>
          </w:p>
        </w:tc>
        <w:tc>
          <w:tcPr>
            <w:tcW w:type="dxa" w:w="1680"/>
          </w:tcPr>
          <w:p>
            <w:r>
              <w:t>IA Pública A</w:t>
            </w:r>
          </w:p>
        </w:tc>
        <w:tc>
          <w:tcPr>
            <w:tcW w:type="dxa" w:w="1680"/>
          </w:tcPr>
          <w:p>
            <w:r>
              <w:t>Folha/remuneração</w:t>
            </w:r>
          </w:p>
        </w:tc>
        <w:tc>
          <w:tcPr>
            <w:tcW w:type="dxa" w:w="1680"/>
          </w:tcPr>
          <w:p>
            <w:r>
              <w:t>Crítico</w:t>
            </w:r>
          </w:p>
        </w:tc>
        <w:tc>
          <w:tcPr>
            <w:tcW w:type="dxa" w:w="1680"/>
          </w:tcPr>
          <w:p>
            <w:r>
              <w:t>✓</w:t>
            </w:r>
          </w:p>
        </w:tc>
      </w:tr>
      <w:tr>
        <w:tc>
          <w:tcPr>
            <w:tcW w:type="dxa" w:w="1680"/>
          </w:tcPr>
          <w:p>
            <w:r>
              <w:t>CV04</w:t>
            </w:r>
          </w:p>
        </w:tc>
        <w:tc>
          <w:tcPr>
            <w:tcW w:type="dxa" w:w="1680"/>
          </w:tcPr>
          <w:p>
            <w:r>
              <w:t>Comercial</w:t>
            </w:r>
          </w:p>
        </w:tc>
        <w:tc>
          <w:tcPr>
            <w:tcW w:type="dxa" w:w="1680"/>
          </w:tcPr>
          <w:p>
            <w:r>
              <w:t>IA Pública B</w:t>
            </w:r>
          </w:p>
        </w:tc>
        <w:tc>
          <w:tcPr>
            <w:tcW w:type="dxa" w:w="1680"/>
          </w:tcPr>
          <w:p>
            <w:r>
              <w:t>Proposta comercial</w:t>
            </w:r>
          </w:p>
        </w:tc>
        <w:tc>
          <w:tcPr>
            <w:tcW w:type="dxa" w:w="1680"/>
          </w:tcPr>
          <w:p>
            <w:r>
              <w:t>Crítico</w:t>
            </w:r>
          </w:p>
        </w:tc>
        <w:tc>
          <w:tcPr>
            <w:tcW w:type="dxa" w:w="1680"/>
          </w:tcPr>
          <w:p>
            <w:r>
              <w:t>✓</w:t>
            </w:r>
          </w:p>
        </w:tc>
      </w:tr>
      <w:tr>
        <w:tc>
          <w:tcPr>
            <w:tcW w:type="dxa" w:w="10080"/>
            <w:gridSpan w:val="6"/>
          </w:tcPr>
          <w:p>
            <w:r>
              <w:t>… e mais 11 casos, de Crítico a Baixo — 15/15 reproduzidos, nível e regra conferidos.</w:t>
            </w:r>
          </w:p>
        </w:tc>
      </w:tr>
    </w:tbl>
    <w:p/>
    <w:p>
      <w:pPr>
        <w:pStyle w:val="Heading2"/>
      </w:pPr>
      <w:r>
        <w:t>Perfil das 38 capturas ao vivo</w:t>
      </w:r>
    </w:p>
    <w:p>
      <w:r>
        <w:rPr/>
        <w:t xml:space="preserve">É preciso distinguir o que exercitou o </w:t>
      </w:r>
      <w:r>
        <w:rPr>
          <w:b/>
        </w:rPr>
        <w:t>motor de classificação</w:t>
      </w:r>
      <w:r>
        <w:rPr/>
        <w:t xml:space="preserve"> (conteúdo) do que foi só </w:t>
      </w:r>
      <w:r>
        <w:rPr>
          <w:b/>
        </w:rPr>
        <w:t>detecção de</w:t>
        <w:br/>
        <w:t xml:space="preserve">      conexão</w:t>
      </w:r>
      <w:r>
        <w:rPr/>
        <w:t xml:space="preserve"> pelo sensor de rede — senão a contagem de ferramentas engana:</w:t>
      </w:r>
    </w:p>
    <w:p>
      <w:r>
        <w:rPr>
          <w:b/>
          <w:color w:val="1C6B4D"/>
          <w:sz w:val="17"/>
        </w:rPr>
        <w:t xml:space="preserve">[CONTEÚDO AVALIADO]  </w:t>
      </w:r>
      <w:r>
        <w:rPr>
          <w:b/>
          <w:color w:val="0F3B2C"/>
        </w:rPr>
        <w:t>21 capturas · 3 ferramentas</w:t>
      </w:r>
    </w:p>
    <w:p>
      <w:pPr>
        <w:ind w:left="280"/>
      </w:pPr>
      <w:r>
        <w:rPr/>
        <w:t>Com conteúdo real, pela extensão: ChatGPT (15), Gemini (5), Grok (1), de 3 usuários. É o que de fato testa a classificação.</w:t>
      </w:r>
    </w:p>
    <w:p>
      <w:r>
        <w:rPr>
          <w:b/>
          <w:color w:val="1C6B4D"/>
          <w:sz w:val="17"/>
        </w:rPr>
        <w:t xml:space="preserve">[SÓ CONEXÃO]  </w:t>
      </w:r>
      <w:r>
        <w:rPr>
          <w:b/>
          <w:color w:val="0F3B2C"/>
        </w:rPr>
        <w:t>17 capturas · detecção de rede</w:t>
      </w:r>
    </w:p>
    <w:p>
      <w:pPr>
        <w:ind w:left="280"/>
      </w:pPr>
      <w:r>
        <w:rPr/>
        <w:t xml:space="preserve">O sensor vê a conexão a domínios de IA e identifica a ferramenta (11 ao todo), mas </w:t>
      </w:r>
      <w:r>
        <w:rPr>
          <w:b/>
        </w:rPr>
        <w:t>não</w:t>
      </w:r>
      <w:r>
        <w:rPr/>
        <w:t xml:space="preserve"> lê o conteúdo — por desenho.</w:t>
      </w:r>
    </w:p>
    <w:p>
      <w:r>
        <w:rPr>
          <w:b/>
          <w:color w:val="0F3B2C"/>
        </w:rPr>
        <w:t>Veredito do motor</w:t>
      </w:r>
    </w:p>
    <w:p>
      <w:pPr>
        <w:ind w:left="280"/>
      </w:pPr>
      <w:r>
        <w:rPr/>
        <w:t>No total: 15 Críticos (os CPF) e 23 Baixos — a mesma régua R01–R14 da base, sem ajuste para a coleta.</w:t>
      </w:r>
    </w:p>
    <w:p>
      <w:pPr>
        <w:pStyle w:val="Heading2"/>
      </w:pPr>
      <w:r>
        <w:t>Testes automatizados</w:t>
      </w:r>
    </w:p>
    <w:p>
      <w:pPr>
        <w:pStyle w:val="ListBullet"/>
      </w:pPr>
      <w:r>
        <w:rPr>
          <w:b/>
        </w:rPr>
        <w:t>Sanidade (</w:t>
      </w:r>
      <w:r>
        <w:rPr>
          <w:rFonts w:ascii="Consolas" w:hAnsi="Consolas"/>
          <w:b/>
          <w:sz w:val="19"/>
        </w:rPr>
        <w:t>testes.py</w:t>
      </w:r>
      <w:r>
        <w:rPr>
          <w:b/>
        </w:rPr>
        <w:t>):</w:t>
      </w:r>
      <w:r>
        <w:rPr/>
        <w:t xml:space="preserve"> prova três afirmações centrais — o fingerprint reconhece um trecho</w:t>
        <w:br/>
        <w:t xml:space="preserve">        colado e reformatado (e não confunde documentos distintos); os detectores validam de verdade (dígito</w:t>
        <w:br/>
        <w:t xml:space="preserve">        verificador de CPF/CNPJ, Luhn de cartão), não alarmam em qualquer número; o motor é </w:t>
      </w:r>
      <w:r>
        <w:rPr>
          <w:b/>
        </w:rPr>
        <w:t>monotônico</w:t>
      </w:r>
      <w:r>
        <w:rPr/>
        <w:t xml:space="preserve"> —</w:t>
        <w:br/>
        <w:t xml:space="preserve">        piorar ferramenta ou classificação nunca reduz o risco.</w:t>
      </w:r>
    </w:p>
    <w:p>
      <w:pPr>
        <w:pStyle w:val="ListBullet"/>
      </w:pPr>
      <w:r>
        <w:rPr>
          <w:b/>
        </w:rPr>
        <w:t>Paridade (</w:t>
      </w:r>
      <w:r>
        <w:rPr>
          <w:rFonts w:ascii="Consolas" w:hAnsi="Consolas"/>
          <w:b/>
          <w:sz w:val="19"/>
        </w:rPr>
        <w:t>testes_paridade.py</w:t>
      </w:r>
      <w:r>
        <w:rPr>
          <w:b/>
        </w:rPr>
        <w:t>):</w:t>
      </w:r>
      <w:r>
        <w:rPr/>
        <w:t xml:space="preserve"> roda o motor Python e o motor JavaScript sobre os mesmos</w:t>
        <w:br/>
        <w:t xml:space="preserve">        650 eventos e compara </w:t>
      </w:r>
      <w:r>
        <w:rPr>
          <w:b/>
        </w:rPr>
        <w:t>evento a evento</w:t>
      </w:r>
      <w:r>
        <w:rPr/>
        <w:t>. Uma simulação que diverge do motor real mente — então exigimos</w:t>
        <w:br/>
        <w:t xml:space="preserve">        paridade total antes de confiar na simulação de impacto do console.</w:t>
      </w:r>
    </w:p>
    <w:p>
      <w:r>
        <w:rPr>
          <w:b/>
          <w:color w:val="1C6B4D"/>
          <w:sz w:val="18"/>
        </w:rPr>
        <w:t>RESULTADOS OBTIDOS</w:t>
      </w:r>
    </w:p>
    <w:p>
      <w:pPr>
        <w:pStyle w:val="Heading1"/>
      </w:pPr>
      <w:r>
        <w:t>O que os testes mediram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color w:val="0F3B2C"/>
              </w:rPr>
              <w:t>15/15</w:t>
            </w:r>
          </w:p>
        </w:tc>
        <w:tc>
          <w:tcPr>
            <w:tcW w:type="dxa" w:w="5040"/>
          </w:tcPr>
          <w:p>
            <w:r>
              <w:t>casos do gabarito reproduzidos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0F3B2C"/>
              </w:rPr>
              <w:t>98,8%</w:t>
            </w:r>
          </w:p>
        </w:tc>
        <w:tc>
          <w:tcPr>
            <w:tcW w:type="dxa" w:w="5040"/>
          </w:tcPr>
          <w:p>
            <w:r>
              <w:t>concordância de nível (642/650)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0F3B2C"/>
              </w:rPr>
              <w:t>96,3%</w:t>
            </w:r>
          </w:p>
        </w:tc>
        <w:tc>
          <w:tcPr>
            <w:tcW w:type="dxa" w:w="5040"/>
          </w:tcPr>
          <w:p>
            <w:r>
              <w:t>concordância de regra (626/650)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0F3B2C"/>
              </w:rPr>
              <w:t>650/650</w:t>
            </w:r>
          </w:p>
        </w:tc>
        <w:tc>
          <w:tcPr>
            <w:tcW w:type="dxa" w:w="5040"/>
          </w:tcPr>
          <w:p>
            <w:r>
              <w:t>paridade Python × navegador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0F3B2C"/>
              </w:rPr>
              <w:t>7/10</w:t>
            </w:r>
          </w:p>
        </w:tc>
        <w:tc>
          <w:tcPr>
            <w:tcW w:type="dxa" w:w="5040"/>
          </w:tcPr>
          <w:p>
            <w:r>
              <w:t>indicadores declarados que divergem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0F3B2C"/>
              </w:rPr>
              <w:t>6</w:t>
            </w:r>
          </w:p>
        </w:tc>
        <w:tc>
          <w:tcPr>
            <w:tcW w:type="dxa" w:w="5040"/>
          </w:tcPr>
          <w:p>
            <w:r>
              <w:t>achados de auditoria da base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0F3B2C"/>
              </w:rPr>
              <w:t>38</w:t>
            </w:r>
          </w:p>
        </w:tc>
        <w:tc>
          <w:tcPr>
            <w:tcW w:type="dxa" w:w="5040"/>
          </w:tcPr>
          <w:p>
            <w:r>
              <w:t>usos de IA capturados ao vivo</w:t>
            </w:r>
          </w:p>
        </w:tc>
      </w:tr>
      <w:tr>
        <w:tc>
          <w:tcPr>
            <w:tcW w:type="dxa" w:w="5040"/>
          </w:tcPr>
          <w:p>
            <w:r>
              <w:rPr>
                <w:b/>
                <w:color w:val="0F3B2C"/>
              </w:rPr>
              <w:t>688</w:t>
            </w:r>
          </w:p>
        </w:tc>
        <w:tc>
          <w:tcPr>
            <w:tcW w:type="dxa" w:w="5040"/>
          </w:tcPr>
          <w:p>
            <w:r>
              <w:t>eventos avaliados (650 + 38)</w:t>
            </w:r>
          </w:p>
        </w:tc>
      </w:tr>
    </w:tbl>
    <w:p/>
    <w:p>
      <w:r>
        <w:rPr/>
        <w:t xml:space="preserve">A concordância alta </w:t>
      </w:r>
      <w:r>
        <w:rPr>
          <w:b/>
        </w:rPr>
        <w:t>não</w:t>
      </w:r>
      <w:r>
        <w:rPr/>
        <w:t xml:space="preserve"> é o objetivo final — os </w:t>
      </w:r>
      <w:r>
        <w:rPr>
          <w:b/>
        </w:rPr>
        <w:t>1,2% em que o motor diverge da base</w:t>
      </w:r>
      <w:r>
        <w:rPr/>
        <w:t xml:space="preserve"> e os</w:t>
        <w:br/>
        <w:t xml:space="preserve">      </w:t>
      </w:r>
      <w:r>
        <w:rPr>
          <w:b/>
        </w:rPr>
        <w:t>7/10 indicadores</w:t>
      </w:r>
      <w:r>
        <w:rPr/>
        <w:t xml:space="preserve"> que não batem com o declarado são exatamente o valor: o motor concorda onde a base</w:t>
        <w:br/>
        <w:t xml:space="preserve">      está certa e aponta, com evidência, onde ela erra.</w:t>
      </w:r>
    </w:p>
    <w:p>
      <w:r>
        <w:rPr>
          <w:b/>
          <w:color w:val="1C6B4D"/>
          <w:sz w:val="18"/>
        </w:rPr>
        <w:t>CRITÉRIO 03 · HONESTIDADE</w:t>
      </w:r>
    </w:p>
    <w:p>
      <w:pPr>
        <w:pStyle w:val="Heading1"/>
      </w:pPr>
      <w:r>
        <w:t>Acertos, falhas e limitações</w:t>
      </w:r>
    </w:p>
    <w:p>
      <w:r>
        <w:rPr>
          <w:b/>
          <w:color w:val="1C6B4D"/>
          <w:sz w:val="17"/>
        </w:rPr>
        <w:t xml:space="preserve">[ACERTO]  </w:t>
      </w:r>
      <w:r>
        <w:rPr>
          <w:b/>
          <w:color w:val="0F3B2C"/>
        </w:rPr>
        <w:t>Reproduz e explica</w:t>
      </w:r>
    </w:p>
    <w:p>
      <w:pPr>
        <w:ind w:left="280"/>
      </w:pPr>
      <w:r>
        <w:rPr/>
        <w:t>15/15 do gabarito, 98,8% da base, e cada decisão com a cadeia de evidência que a sustenta.</w:t>
      </w:r>
    </w:p>
    <w:p>
      <w:r>
        <w:rPr>
          <w:b/>
          <w:color w:val="1C6B4D"/>
          <w:sz w:val="17"/>
        </w:rPr>
        <w:t xml:space="preserve">[ACERTO]  </w:t>
      </w:r>
      <w:r>
        <w:rPr>
          <w:b/>
          <w:color w:val="0F3B2C"/>
        </w:rPr>
        <w:t>Acha o ponto cego</w:t>
      </w:r>
    </w:p>
    <w:p>
      <w:pPr>
        <w:ind w:left="280"/>
      </w:pPr>
      <w:r>
        <w:rPr/>
        <w:t>6 achados de auditoria e 7/10 indicadores divergentes — o que a revisão manual não via.</w:t>
      </w:r>
    </w:p>
    <w:p>
      <w:r>
        <w:rPr>
          <w:b/>
          <w:color w:val="1C6B4D"/>
          <w:sz w:val="17"/>
        </w:rPr>
        <w:t xml:space="preserve">[ACERTO]  </w:t>
      </w:r>
      <w:r>
        <w:rPr>
          <w:b/>
          <w:color w:val="0F3B2C"/>
        </w:rPr>
        <w:t>Vê o presente</w:t>
      </w:r>
    </w:p>
    <w:p>
      <w:pPr>
        <w:ind w:left="280"/>
      </w:pPr>
      <w:r>
        <w:rPr/>
        <w:t>38 usos reais capturados, com identidade do SO e origem (Planilha × Coleta) marcada.</w:t>
      </w:r>
    </w:p>
    <w:p>
      <w:pPr>
        <w:pStyle w:val="Heading2"/>
      </w:pPr>
      <w:r>
        <w:t>As divergências — falha do motor ou da base?</w:t>
      </w:r>
    </w:p>
    <w:p>
      <w:r>
        <w:rPr/>
        <w:t xml:space="preserve">Em </w:t>
      </w:r>
      <w:r>
        <w:rPr>
          <w:b/>
        </w:rPr>
        <w:t>8 de 650 eventos (1,2%)</w:t>
      </w:r>
      <w:r>
        <w:rPr/>
        <w:t xml:space="preserve"> o motor diverge do nível da base, e </w:t>
      </w:r>
      <w:r>
        <w:rPr>
          <w:b/>
        </w:rPr>
        <w:t>7 de 10 indicadores</w:t>
      </w:r>
      <w:r>
        <w:rPr/>
        <w:t xml:space="preserve"> declarados não</w:t>
        <w:br/>
        <w:t xml:space="preserve">      batem com o apurado. Investigamos cada um: na maioria é a </w:t>
      </w:r>
      <w:r>
        <w:rPr>
          <w:b/>
        </w:rPr>
        <w:t>base/rotulagem</w:t>
      </w:r>
      <w:r>
        <w:rPr/>
        <w:t xml:space="preserve"> que está frouxa (ex.: achado A-03,</w:t>
        <w:br/>
        <w:t xml:space="preserve">      conteúdo não público numa ferramenta "aprovada só para público"), não o motor. Onde a dúvida é legítima do</w:t>
        <w:br/>
        <w:t xml:space="preserve">      conteúdo (R07/R13), o motor </w:t>
      </w:r>
      <w:r>
        <w:rPr>
          <w:b/>
        </w:rPr>
        <w:t>não crava</w:t>
      </w:r>
      <w:r>
        <w:rPr/>
        <w:t xml:space="preserve"> — marca para revisão. Divergência, aqui, é sinal — não bug.</w:t>
      </w:r>
    </w:p>
    <w:p>
      <w:pPr>
        <w:pStyle w:val="Heading2"/>
      </w:pPr>
      <w:r>
        <w:t>Limitações que permanecem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Limitação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Situação</w:t>
            </w:r>
          </w:p>
        </w:tc>
      </w:tr>
      <w:tr>
        <w:tc>
          <w:tcPr>
            <w:tcW w:type="dxa" w:w="5040"/>
          </w:tcPr>
          <w:p>
            <w:r>
              <w:t>Sensor de rede vê a conexão, não o conteúdo (tráfego TLS)</w:t>
            </w:r>
          </w:p>
        </w:tc>
        <w:tc>
          <w:tcPr>
            <w:tcW w:type="dxa" w:w="5040"/>
          </w:tcPr>
          <w:p>
            <w:r>
              <w:t>por desenho — o conteúdo fica na extensão; MITM é a alternativa opt-in</w:t>
            </w:r>
          </w:p>
        </w:tc>
      </w:tr>
      <w:tr>
        <w:tc>
          <w:tcPr>
            <w:tcW w:type="dxa" w:w="5040"/>
          </w:tcPr>
          <w:p>
            <w:r>
              <w:t>DNS reverso não resolvia em CDN (Cloudflare/Google) e um IP compartilhado virava 11 IAs</w:t>
            </w:r>
          </w:p>
        </w:tc>
        <w:tc>
          <w:tcPr>
            <w:tcW w:type="dxa" w:w="5040"/>
          </w:tcPr>
          <w:p>
            <w:r>
              <w:t>resolvido — índice de IPs + cache de DNS como autoridade</w:t>
            </w:r>
          </w:p>
        </w:tc>
      </w:tr>
      <w:tr>
        <w:tc>
          <w:tcPr>
            <w:tcW w:type="dxa" w:w="5040"/>
          </w:tcPr>
          <w:p>
            <w:r>
              <w:t>Fingerprint não detecta paráfrase; varredura linear</w:t>
            </w:r>
          </w:p>
        </w:tc>
        <w:tc>
          <w:tcPr>
            <w:tcW w:type="dxa" w:w="5040"/>
          </w:tcPr>
          <w:p>
            <w:r>
              <w:t>pega recorte/colagem; em escala vira índice LSH (mesma matemática)</w:t>
            </w:r>
          </w:p>
        </w:tc>
      </w:tr>
      <w:tr>
        <w:tc>
          <w:tcPr>
            <w:tcW w:type="dxa" w:w="5040"/>
          </w:tcPr>
          <w:p>
            <w:r>
              <w:t>Paridade de hash FNV-1a (JS) × blake2b (Python)</w:t>
            </w:r>
          </w:p>
        </w:tc>
        <w:tc>
          <w:tcPr>
            <w:tcW w:type="dxa" w:w="5040"/>
          </w:tcPr>
          <w:p>
            <w:r>
              <w:t>pendente (fase 2); não afeta o motor de regras, que tem paridade total</w:t>
            </w:r>
          </w:p>
        </w:tc>
      </w:tr>
      <w:tr>
        <w:tc>
          <w:tcPr>
            <w:tcW w:type="dxa" w:w="5040"/>
          </w:tcPr>
          <w:p>
            <w:r>
              <w:t>Extração de conteúdo por site (APIs privadas mudam)</w:t>
            </w:r>
          </w:p>
        </w:tc>
        <w:tc>
          <w:tcPr>
            <w:tcW w:type="dxa" w:w="5040"/>
          </w:tcPr>
          <w:p>
            <w:r>
              <w:t>best-effort por ferramenta, com fallback genérico</w:t>
            </w:r>
          </w:p>
        </w:tc>
      </w:tr>
      <w:tr>
        <w:tc>
          <w:tcPr>
            <w:tcW w:type="dxa" w:w="5040"/>
          </w:tcPr>
          <w:p>
            <w:r>
              <w:t>Identidade exige usuário logado (serviço sobe no boot antes do login)</w:t>
            </w:r>
          </w:p>
        </w:tc>
        <w:tc>
          <w:tcPr>
            <w:tcW w:type="dxa" w:w="5040"/>
          </w:tcPr>
          <w:p>
            <w:r>
              <w:t>atribui ao usuário assim que alguém loga</w:t>
            </w:r>
          </w:p>
        </w:tc>
      </w:tr>
      <w:tr>
        <w:tc>
          <w:tcPr>
            <w:tcW w:type="dxa" w:w="5040"/>
          </w:tcPr>
          <w:p>
            <w:r>
              <w:t>6 das 14 regras nunca são acionadas na base (achado A-04)</w:t>
            </w:r>
          </w:p>
        </w:tc>
        <w:tc>
          <w:tcPr>
            <w:tcW w:type="dxa" w:w="5040"/>
          </w:tcPr>
          <w:p>
            <w:r>
              <w:t>sinal de regra morta ou lacuna de dado — vira revisão de política</w:t>
            </w:r>
          </w:p>
        </w:tc>
      </w:tr>
    </w:tbl>
    <w:p/>
    <w:p>
      <w:r>
        <w:rPr>
          <w:b/>
          <w:color w:val="1C6B4D"/>
          <w:sz w:val="18"/>
        </w:rPr>
        <w:t>CRITÉRIO 04 · AJUSTES E SEGURANÇA</w:t>
      </w:r>
    </w:p>
    <w:p>
      <w:pPr>
        <w:pStyle w:val="Heading1"/>
      </w:pPr>
      <w:r>
        <w:t>O que mudou após os testes, e o comportamento seguro da IA</w:t>
      </w:r>
    </w:p>
    <w:p>
      <w:r>
        <w:rPr/>
        <w:t xml:space="preserve">É o critério que mais mexeu no protótipo. Os testes não só mediram acerto — </w:t>
      </w:r>
      <w:r>
        <w:rPr>
          <w:b/>
        </w:rPr>
        <w:t>forçaram mudanças</w:t>
      </w:r>
      <w:r>
        <w:rPr/>
        <w:t xml:space="preserve"> e</w:t>
        <w:br/>
        <w:t xml:space="preserve">      expuseram onde a IA precisa de freio. Aqui, segurança é por desenho, não promessa.</w:t>
      </w:r>
    </w:p>
    <w:p>
      <w:pPr>
        <w:pStyle w:val="Heading2"/>
      </w:pPr>
      <w:r>
        <w:t>Mudanças que os testes forçaram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O teste revelou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Ajuste feito</w:t>
            </w:r>
          </w:p>
        </w:tc>
      </w:tr>
      <w:tr>
        <w:tc>
          <w:tcPr>
            <w:tcW w:type="dxa" w:w="5040"/>
          </w:tcPr>
          <w:p>
            <w:r>
              <w:t>Tráfego real: um IP de CDN compartilhado fazia uma busca virar várias IAs (falso-positivo)</w:t>
            </w:r>
          </w:p>
        </w:tc>
        <w:tc>
          <w:tcPr>
            <w:tcW w:type="dxa" w:w="5040"/>
          </w:tcPr>
          <w:p>
            <w:r>
              <w:t>cache de DNS como autoridade + índice de IPs — o ruído some</w:t>
            </w:r>
          </w:p>
        </w:tc>
      </w:tr>
      <w:tr>
        <w:tc>
          <w:tcPr>
            <w:tcW w:type="dxa" w:w="5040"/>
          </w:tcPr>
          <w:p>
            <w:r>
              <w:t>Classificar o texto livre mandaria conteúdo sensível à nuvem</w:t>
            </w:r>
          </w:p>
        </w:tc>
        <w:tc>
          <w:tcPr>
            <w:tcW w:type="dxa" w:w="5040"/>
          </w:tcPr>
          <w:p>
            <w:r>
              <w:t>Nível 1 local (Qwen3 via llamafile), on-premise; só o resíduo sobe ao Claude</w:t>
            </w:r>
          </w:p>
        </w:tc>
      </w:tr>
      <w:tr>
        <w:tc>
          <w:tcPr>
            <w:tcW w:type="dxa" w:w="5040"/>
          </w:tcPr>
          <w:p>
            <w:r>
              <w:t>A captura guardava a pergunta sem a resposta — evidência pela metade</w:t>
            </w:r>
          </w:p>
        </w:tc>
        <w:tc>
          <w:tcPr>
            <w:tcW w:type="dxa" w:w="5040"/>
          </w:tcPr>
          <w:p>
            <w:r>
              <w:t>par prompt↔resposta (par_id): a interação inteira numa unidade</w:t>
            </w:r>
          </w:p>
        </w:tc>
      </w:tr>
      <w:tr>
        <w:tc>
          <w:tcPr>
            <w:tcW w:type="dxa" w:w="5040"/>
          </w:tcPr>
          <w:p>
            <w:r>
              <w:t>A mesma busca repetida inundava o painel</w:t>
            </w:r>
          </w:p>
        </w:tc>
        <w:tc>
          <w:tcPr>
            <w:tcW w:type="dxa" w:w="5040"/>
          </w:tcPr>
          <w:p>
            <w:r>
              <w:t>dedup por uso — eventos repetidos não floodam a fila</w:t>
            </w:r>
          </w:p>
        </w:tc>
      </w:tr>
      <w:tr>
        <w:tc>
          <w:tcPr>
            <w:tcW w:type="dxa" w:w="5040"/>
          </w:tcPr>
          <w:p>
            <w:r>
              <w:t>A confiança do classificador vinha sempre 0</w:t>
            </w:r>
          </w:p>
        </w:tc>
        <w:tc>
          <w:tcPr>
            <w:tcW w:type="dxa" w:w="5040"/>
          </w:tcPr>
          <w:p>
            <w:r>
              <w:t>corrigida, e o serviço movido para porta dedicada</w:t>
            </w:r>
          </w:p>
        </w:tc>
      </w:tr>
      <w:tr>
        <w:tc>
          <w:tcPr>
            <w:tcW w:type="dxa" w:w="5040"/>
          </w:tcPr>
          <w:p>
            <w:r>
              <w:t>Atritos de instalação no Windows (alias da Store, execution policy, ACL pt-BR)</w:t>
            </w:r>
          </w:p>
        </w:tc>
        <w:tc>
          <w:tcPr>
            <w:tcW w:type="dxa" w:w="5040"/>
          </w:tcPr>
          <w:p>
            <w:r>
              <w:t>resolvidos no instalador durante os próprios testes</w:t>
            </w:r>
          </w:p>
        </w:tc>
      </w:tr>
    </w:tbl>
    <w:p/>
    <w:p>
      <w:pPr>
        <w:pStyle w:val="Heading2"/>
      </w:pPr>
      <w:r>
        <w:t>A cascata que não decide sem base</w:t>
      </w:r>
    </w:p>
    <w:p>
      <w:r>
        <w:rPr>
          <w:b/>
          <w:color w:val="1C6B4D"/>
          <w:sz w:val="17"/>
        </w:rPr>
        <w:t xml:space="preserve">[NÍVEL 0 · BORDA]  </w:t>
      </w:r>
      <w:r>
        <w:rPr>
          <w:b/>
          <w:color w:val="0F3B2C"/>
        </w:rPr>
        <w:t>Detectores determinísticos</w:t>
      </w:r>
    </w:p>
    <w:p>
      <w:pPr>
        <w:ind w:left="280"/>
      </w:pPr>
      <w:r>
        <w:rPr/>
        <w:t>CPF/CNPJ (dígito), cartão (Luhn), credenciais por padrão. O valor sensível é mascarado na máquina; só tipo e contagem saem.</w:t>
      </w:r>
    </w:p>
    <w:p>
      <w:r>
        <w:rPr>
          <w:b/>
          <w:color w:val="1C6B4D"/>
          <w:sz w:val="17"/>
        </w:rPr>
        <w:t xml:space="preserve">[NÍVEL 1 · ON-PREMISE]  </w:t>
      </w:r>
      <w:r>
        <w:rPr>
          <w:b/>
          <w:color w:val="0F3B2C"/>
        </w:rPr>
        <w:t>Qwen3 (llamafile)</w:t>
      </w:r>
    </w:p>
    <w:p>
      <w:pPr>
        <w:ind w:left="280"/>
      </w:pPr>
      <w:r>
        <w:rPr/>
        <w:t>Classifica tipo e sensibilidade do texto livre no servidor da empresa. O conteúdo não cruza o perímetro.</w:t>
      </w:r>
    </w:p>
    <w:p>
      <w:r>
        <w:rPr>
          <w:b/>
          <w:color w:val="1C6B4D"/>
          <w:sz w:val="17"/>
        </w:rPr>
        <w:t xml:space="preserve">[NÍVEL 2 · NUVEM]  </w:t>
      </w:r>
      <w:r>
        <w:rPr>
          <w:b/>
          <w:color w:val="0F3B2C"/>
        </w:rPr>
        <w:t>Claude (resíduo)</w:t>
      </w:r>
    </w:p>
    <w:p>
      <w:pPr>
        <w:ind w:left="280"/>
      </w:pPr>
      <w:r>
        <w:rPr/>
        <w:t>Só quando a regra não basta e o caso é inédito. O que resolve volta a ensinar a camada clássica.</w:t>
      </w:r>
    </w:p>
    <w:p>
      <w:r>
        <w:rPr/>
        <w:t xml:space="preserve">O freio central: quando a camada 1 não resolve, o nível fica </w:t>
      </w:r>
      <w:r>
        <w:rPr>
          <w:b/>
        </w:rPr>
        <w:t>provisório</w:t>
      </w:r>
      <w:r>
        <w:rPr/>
        <w:t xml:space="preserve"> — nunca é mostrado como certeza.</w:t>
        <w:br/>
        <w:t xml:space="preserve">      A IA não preenche a lacuna com um palpite; ela </w:t>
      </w:r>
      <w:r>
        <w:rPr>
          <w:b/>
        </w:rPr>
        <w:t>declara</w:t>
      </w:r>
      <w:r>
        <w:rPr/>
        <w:t xml:space="preserve"> a lacuna.</w:t>
      </w:r>
    </w:p>
    <w:p>
      <w:pPr>
        <w:pStyle w:val="Heading2"/>
      </w:pPr>
      <w:r>
        <w:t>Salvaguardas de comportamento seguro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Salvaguarda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Como funciona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 que previne</w:t>
            </w:r>
          </w:p>
        </w:tc>
      </w:tr>
      <w:tr>
        <w:tc>
          <w:tcPr>
            <w:tcW w:type="dxa" w:w="3360"/>
          </w:tcPr>
          <w:p>
            <w:r>
              <w:t>Mascaramento na borda</w:t>
            </w:r>
          </w:p>
        </w:tc>
        <w:tc>
          <w:tcPr>
            <w:tcW w:type="dxa" w:w="3360"/>
          </w:tcPr>
          <w:p>
            <w:r>
              <w:t>CPF/cartão/credencial viram [MASCARADO] antes de sair; a trilha guarda só tipo e contagem</w:t>
            </w:r>
          </w:p>
        </w:tc>
        <w:tc>
          <w:tcPr>
            <w:tcW w:type="dxa" w:w="3360"/>
          </w:tcPr>
          <w:p>
            <w:r>
              <w:t>o log de governança virar mais uma cópia do dado crítico</w:t>
            </w:r>
          </w:p>
        </w:tc>
      </w:tr>
      <w:tr>
        <w:tc>
          <w:tcPr>
            <w:tcW w:type="dxa" w:w="3360"/>
          </w:tcPr>
          <w:p>
            <w:r>
              <w:t>Conteúdo on-premise</w:t>
            </w:r>
          </w:p>
        </w:tc>
        <w:tc>
          <w:tcPr>
            <w:tcW w:type="dxa" w:w="3360"/>
          </w:tcPr>
          <w:p>
            <w:r>
              <w:t>detecção e Nível 1 rodam na máquina/servidor; só o resíduo ambíguo sobe</w:t>
            </w:r>
          </w:p>
        </w:tc>
        <w:tc>
          <w:tcPr>
            <w:tcW w:type="dxa" w:w="3360"/>
          </w:tcPr>
          <w:p>
            <w:r>
              <w:t>dado da empresa sair do perímetro</w:t>
            </w:r>
          </w:p>
        </w:tc>
      </w:tr>
      <w:tr>
        <w:tc>
          <w:tcPr>
            <w:tcW w:type="dxa" w:w="3360"/>
          </w:tcPr>
          <w:p>
            <w:r>
              <w:t>Identidade confiável</w:t>
            </w:r>
          </w:p>
        </w:tc>
        <w:tc>
          <w:tcPr>
            <w:tcW w:type="dxa" w:w="3360"/>
          </w:tcPr>
          <w:p>
            <w:r>
              <w:t>o usuário é lido do SO no servidor — a página não decide quem é</w:t>
            </w:r>
          </w:p>
        </w:tc>
        <w:tc>
          <w:tcPr>
            <w:tcW w:type="dxa" w:w="3360"/>
          </w:tcPr>
          <w:p>
            <w:r>
              <w:t>atribuição falsa de quem usou a IA</w:t>
            </w:r>
          </w:p>
        </w:tc>
      </w:tr>
      <w:tr>
        <w:tc>
          <w:tcPr>
            <w:tcW w:type="dxa" w:w="3360"/>
          </w:tcPr>
          <w:p>
            <w:r>
              <w:t>Isolamento de rede</w:t>
            </w:r>
          </w:p>
        </w:tc>
        <w:tc>
          <w:tcPr>
            <w:tcW w:type="dxa" w:w="3360"/>
          </w:tcPr>
          <w:p>
            <w:r>
              <w:t>núcleo em VLAN sem saída; só a DMZ de notificação fala com fora</w:t>
            </w:r>
          </w:p>
        </w:tc>
        <w:tc>
          <w:tcPr>
            <w:tcW w:type="dxa" w:w="3360"/>
          </w:tcPr>
          <w:p>
            <w:r>
              <w:t>exfiltração pelo próprio sistema de governança</w:t>
            </w:r>
          </w:p>
        </w:tc>
      </w:tr>
      <w:tr>
        <w:tc>
          <w:tcPr>
            <w:tcW w:type="dxa" w:w="3360"/>
          </w:tcPr>
          <w:p>
            <w:r>
              <w:t>Agente travado por senha</w:t>
            </w:r>
          </w:p>
        </w:tc>
        <w:tc>
          <w:tcPr>
            <w:tcW w:type="dxa" w:w="3360"/>
          </w:tcPr>
          <w:p>
            <w:r>
              <w:t>pausar/desinstalar exige senha (PBKDF2-SHA256)</w:t>
            </w:r>
          </w:p>
        </w:tc>
        <w:tc>
          <w:tcPr>
            <w:tcW w:type="dxa" w:w="3360"/>
          </w:tcPr>
          <w:p>
            <w:r>
              <w:t>o usuário comum desligar o monitoramento</w:t>
            </w:r>
          </w:p>
        </w:tc>
      </w:tr>
      <w:tr>
        <w:tc>
          <w:tcPr>
            <w:tcW w:type="dxa" w:w="3360"/>
          </w:tcPr>
          <w:p>
            <w:r>
              <w:t>LGPD embutida</w:t>
            </w:r>
          </w:p>
        </w:tc>
        <w:tc>
          <w:tcPr>
            <w:tcW w:type="dxa" w:w="3360"/>
          </w:tcPr>
          <w:p>
            <w:r>
              <w:t>detecta dado pessoal em IA pública e marca a obrigação de privacidade (achado A-02)</w:t>
            </w:r>
          </w:p>
        </w:tc>
        <w:tc>
          <w:tcPr>
            <w:tcW w:type="dxa" w:w="3360"/>
          </w:tcPr>
          <w:p>
            <w:r>
              <w:t>exposição silenciosa de dado pessoal</w:t>
            </w:r>
          </w:p>
        </w:tc>
      </w:tr>
      <w:tr>
        <w:tc>
          <w:tcPr>
            <w:tcW w:type="dxa" w:w="3360"/>
          </w:tcPr>
          <w:p>
            <w:r>
              <w:t>MITM opt-in e avisado</w:t>
            </w:r>
          </w:p>
        </w:tc>
        <w:tc>
          <w:tcPr>
            <w:tcW w:type="dxa" w:w="3360"/>
          </w:tcPr>
          <w:p>
            <w:r>
              <w:t>interceptação TLS só com aval de Segurança, CA corporativa e aviso ao usuário</w:t>
            </w:r>
          </w:p>
        </w:tc>
        <w:tc>
          <w:tcPr>
            <w:tcW w:type="dxa" w:w="3360"/>
          </w:tcPr>
          <w:p>
            <w:r>
              <w:t>vigilância de conteúdo sem consentimento</w:t>
            </w:r>
          </w:p>
        </w:tc>
      </w:tr>
    </w:tbl>
    <w:p/>
    <w:p>
      <w:pPr>
        <w:pStyle w:val="Heading2"/>
      </w:pPr>
      <w:r>
        <w:t>Quando a IA para e chama o humano</w:t>
      </w:r>
    </w:p>
    <w:p>
      <w:pPr>
        <w:pStyle w:val="ListBullet"/>
      </w:pPr>
      <w:r>
        <w:rPr>
          <w:b/>
        </w:rPr>
        <w:t>Baixa confiança da regra</w:t>
      </w:r>
      <w:r>
        <w:rPr/>
        <w:t xml:space="preserve"> (R07 validar finalidade; R13 revisar Interna): o julgamento é do conteúdo — vai a revisão, não é decidido sozinho.</w:t>
      </w:r>
    </w:p>
    <w:p>
      <w:pPr>
        <w:pStyle w:val="ListBullet"/>
      </w:pPr>
      <w:r>
        <w:rPr>
          <w:b/>
        </w:rPr>
        <w:t>Risco crítico</w:t>
      </w:r>
      <w:r>
        <w:rPr/>
        <w:t>: a política encaminha a Compliance/Segurança; a IA evidencia, a pessoa decide.</w:t>
      </w:r>
    </w:p>
    <w:p>
      <w:pPr>
        <w:pStyle w:val="ListBullet"/>
      </w:pPr>
      <w:r>
        <w:rPr>
          <w:b/>
        </w:rPr>
        <w:t>Achados de auditoria</w:t>
      </w:r>
      <w:r>
        <w:rPr/>
        <w:t xml:space="preserve">: realimentam a política — o achado A-06 propõe a regra </w:t>
      </w:r>
      <w:r>
        <w:rPr>
          <w:b/>
        </w:rPr>
        <w:t>R15</w:t>
      </w:r>
      <w:r>
        <w:rPr/>
        <w:t xml:space="preserve"> que faltava.</w:t>
      </w:r>
    </w:p>
    <w:p>
      <w:r>
        <w:rPr>
          <w:b/>
          <w:color w:val="1C6B4D"/>
          <w:sz w:val="18"/>
        </w:rPr>
        <w:t>TESTES COM INTELIGÊNCIA ARTIFICIAL</w:t>
      </w:r>
    </w:p>
    <w:p>
      <w:pPr>
        <w:pStyle w:val="Heading1"/>
      </w:pPr>
      <w:r>
        <w:t>As cinco perguntas, respondidas</w:t>
      </w:r>
    </w:p>
    <w:p>
      <w:r>
        <w:rPr>
          <w:b/>
          <w:color w:val="1C6B4D"/>
        </w:rPr>
        <w:t xml:space="preserve">01  </w:t>
      </w:r>
      <w:r>
        <w:rPr>
          <w:b/>
          <w:color w:val="0F3B2C"/>
        </w:rPr>
        <w:t>A resposta está sustentada nos dados ou nas fontes?</w:t>
      </w:r>
    </w:p>
    <w:p>
      <w:pPr>
        <w:ind w:left="200"/>
      </w:pPr>
      <w:r>
        <w:rPr/>
        <w:t xml:space="preserve">Sim. Toda decisão de risco traz a </w:t>
      </w:r>
      <w:r>
        <w:rPr>
          <w:b/>
        </w:rPr>
        <w:t>cadeia de evidência</w:t>
      </w:r>
      <w:r>
        <w:rPr/>
        <w:t xml:space="preserve"> — a regra acionada, o que os detectores encontraram</w:t>
        <w:br/>
        <w:t xml:space="preserve">        e, quando há, a assinatura de fingerprint do documento de origem. O LLM só opina com o vocabulário e o contexto</w:t>
        <w:br/>
        <w:t xml:space="preserve">        da própria base; ele não inventa valores fora dela.</w:t>
      </w:r>
    </w:p>
    <w:p>
      <w:r>
        <w:rPr>
          <w:b/>
          <w:color w:val="1C6B4D"/>
        </w:rPr>
        <w:t xml:space="preserve">02  </w:t>
      </w:r>
      <w:r>
        <w:rPr>
          <w:b/>
          <w:color w:val="0F3B2C"/>
        </w:rPr>
        <w:t>A saída atende ao resultado esperado?</w:t>
      </w:r>
    </w:p>
    <w:p>
      <w:pPr>
        <w:ind w:left="200"/>
      </w:pPr>
      <w:r>
        <w:rPr/>
        <w:t xml:space="preserve">Medido, não afirmado: </w:t>
      </w:r>
      <w:r>
        <w:rPr>
          <w:b/>
        </w:rPr>
        <w:t>15/15</w:t>
      </w:r>
      <w:r>
        <w:rPr/>
        <w:t xml:space="preserve"> dos casos oficiais do gabarito e </w:t>
      </w:r>
      <w:r>
        <w:rPr>
          <w:b/>
        </w:rPr>
        <w:t>98,8%</w:t>
      </w:r>
      <w:r>
        <w:rPr/>
        <w:t xml:space="preserve"> de concordância de nível com a</w:t>
        <w:br/>
        <w:t xml:space="preserve">        base. Os dois motores (Python e navegador) batem em </w:t>
      </w:r>
      <w:r>
        <w:rPr>
          <w:b/>
        </w:rPr>
        <w:t>650/650</w:t>
      </w:r>
      <w:r>
        <w:rPr/>
        <w:t xml:space="preserve"> eventos, então a simulação de impacto não mente.</w:t>
      </w:r>
    </w:p>
    <w:p>
      <w:r>
        <w:rPr>
          <w:b/>
          <w:color w:val="1C6B4D"/>
        </w:rPr>
        <w:t xml:space="preserve">03  </w:t>
      </w:r>
      <w:r>
        <w:rPr>
          <w:b/>
          <w:color w:val="0F3B2C"/>
        </w:rPr>
        <w:t>Como a solução reage quando não possui informação suficiente?</w:t>
      </w:r>
    </w:p>
    <w:p>
      <w:pPr>
        <w:ind w:left="200"/>
      </w:pPr>
      <w:r>
        <w:rPr/>
        <w:t xml:space="preserve">Ela </w:t>
      </w:r>
      <w:r>
        <w:rPr>
          <w:b/>
        </w:rPr>
        <w:t>não força uma decisão</w:t>
      </w:r>
      <w:r>
        <w:rPr/>
        <w:t>. Quando a regra não resolve (ex.: R07 pede validar a finalidade, R13 manda</w:t>
        <w:br/>
        <w:t xml:space="preserve">        revisar Interna), o nível fica </w:t>
      </w:r>
      <w:r>
        <w:rPr>
          <w:b/>
        </w:rPr>
        <w:t>provisório</w:t>
      </w:r>
      <w:r>
        <w:rPr/>
        <w:t xml:space="preserve"> e o caso é escalado ao LLM ou marcado para revisão — explicitamente,</w:t>
        <w:br/>
        <w:t xml:space="preserve">        na interface, em vez de fingir certeza.</w:t>
      </w:r>
    </w:p>
    <w:p>
      <w:r>
        <w:rPr>
          <w:b/>
          <w:color w:val="1C6B4D"/>
        </w:rPr>
        <w:t xml:space="preserve">04  </w:t>
      </w:r>
      <w:r>
        <w:rPr>
          <w:b/>
          <w:color w:val="0F3B2C"/>
        </w:rPr>
        <w:t>Existem respostas incorretas ou sem sustentação?</w:t>
      </w:r>
    </w:p>
    <w:p>
      <w:pPr>
        <w:ind w:left="200"/>
      </w:pPr>
      <w:r>
        <w:rPr/>
        <w:t xml:space="preserve">As divergências não são escondidas: viram </w:t>
      </w:r>
      <w:r>
        <w:rPr>
          <w:b/>
        </w:rPr>
        <w:t>achados</w:t>
      </w:r>
      <w:r>
        <w:rPr/>
        <w:t>. A auditoria expõe 6 deles (ex.: A-01 regra que pressupõe</w:t>
        <w:br/>
        <w:t xml:space="preserve">        ferramenta aprovada quando não era; A-04 seis regras nunca acionadas; A-06 lacuna que a política não cobre) e os</w:t>
        <w:br/>
        <w:t xml:space="preserve">        7/10 indicadores declarados que não batem com a base. O erro é tratado como resultado, não como falha a esconder.</w:t>
      </w:r>
    </w:p>
    <w:p>
      <w:r>
        <w:rPr>
          <w:b/>
          <w:color w:val="1C6B4D"/>
        </w:rPr>
        <w:t xml:space="preserve">05  </w:t>
      </w:r>
      <w:r>
        <w:rPr>
          <w:b/>
          <w:color w:val="0F3B2C"/>
        </w:rPr>
        <w:t>Quando a decisão precisa de revisão humana?</w:t>
      </w:r>
    </w:p>
    <w:p>
      <w:pPr>
        <w:ind w:left="200"/>
      </w:pPr>
      <w:r>
        <w:rPr/>
        <w:t xml:space="preserve">Em três situações: </w:t>
      </w:r>
      <w:r>
        <w:rPr>
          <w:b/>
        </w:rPr>
        <w:t>baixa confiança</w:t>
      </w:r>
      <w:r>
        <w:rPr/>
        <w:t xml:space="preserve"> da regra (R07/R13), onde o julgamento é do conteúdo; </w:t>
      </w:r>
      <w:r>
        <w:rPr>
          <w:b/>
        </w:rPr>
        <w:t>risco crítico</w:t>
      </w:r>
      <w:r>
        <w:rPr/>
        <w:t>,</w:t>
        <w:br/>
        <w:t xml:space="preserve">        que a política encaminha a Compliance/Segurança; e os </w:t>
      </w:r>
      <w:r>
        <w:rPr>
          <w:b/>
        </w:rPr>
        <w:t>achados de auditoria</w:t>
      </w:r>
      <w:r>
        <w:rPr/>
        <w:t>, que realimentam a política</w:t>
        <w:br/>
        <w:t xml:space="preserve">        (o achado A-06 propõe a regra R15). A IA prepara e evidencia; a pessoa decide onde importa.</w:t>
      </w:r>
    </w:p>
    <w:p>
      <w:r>
        <w:rPr>
          <w:b/>
          <w:color w:val="1C6B4D"/>
          <w:sz w:val="18"/>
        </w:rPr>
        <w:t>CRITÉRIO DA SEMANA 4</w:t>
      </w:r>
    </w:p>
    <w:p>
      <w:pPr>
        <w:pStyle w:val="Heading1"/>
      </w:pPr>
      <w:r>
        <w:t>Aplicabilidade, protótipo e validação</w:t>
      </w:r>
    </w:p>
    <w:p>
      <w:r>
        <w:rPr>
          <w:b/>
          <w:color w:val="1C6B4D"/>
          <w:sz w:val="17"/>
        </w:rPr>
        <w:t xml:space="preserve">[01]  </w:t>
      </w:r>
      <w:r>
        <w:rPr>
          <w:b/>
          <w:color w:val="0F3B2C"/>
        </w:rPr>
        <w:t>Comparação com o processo atual</w:t>
      </w:r>
    </w:p>
    <w:p>
      <w:pPr>
        <w:ind w:left="280"/>
      </w:pPr>
      <w:r>
        <w:rPr/>
        <w:t>Manual × alternativa simples × cascata: explicável, barata e a única que vê o uso de IA fora da planilha.</w:t>
      </w:r>
    </w:p>
    <w:p>
      <w:r>
        <w:rPr>
          <w:b/>
          <w:color w:val="1C6B4D"/>
          <w:sz w:val="17"/>
        </w:rPr>
        <w:t xml:space="preserve">[02]  </w:t>
      </w:r>
      <w:r>
        <w:rPr>
          <w:b/>
          <w:color w:val="0F3B2C"/>
        </w:rPr>
        <w:t>Casos representativos não usados no ajuste</w:t>
      </w:r>
    </w:p>
    <w:p>
      <w:pPr>
        <w:ind w:left="280"/>
      </w:pPr>
      <w:r>
        <w:rPr/>
        <w:t>15 casos do gabarito (referência externa) + 38 capturas ao vivo; nenhum calibra o motor. 15/15.</w:t>
      </w:r>
    </w:p>
    <w:p>
      <w:r>
        <w:rPr>
          <w:b/>
          <w:color w:val="1C6B4D"/>
          <w:sz w:val="17"/>
        </w:rPr>
        <w:t xml:space="preserve">[03]  </w:t>
      </w:r>
      <w:r>
        <w:rPr>
          <w:b/>
          <w:color w:val="0F3B2C"/>
        </w:rPr>
        <w:t>Acertos, falhas e limitações</w:t>
      </w:r>
    </w:p>
    <w:p>
      <w:pPr>
        <w:ind w:left="280"/>
      </w:pPr>
      <w:r>
        <w:rPr/>
        <w:t>98,8%/15-15 de um lado; TLS, paráfrase e paridade de hash do outro — ditas, não varridas para baixo do tapete.</w:t>
      </w:r>
    </w:p>
    <w:p>
      <w:r>
        <w:rPr>
          <w:b/>
          <w:color w:val="1C6B4D"/>
          <w:sz w:val="17"/>
        </w:rPr>
        <w:t xml:space="preserve">[04]  </w:t>
      </w:r>
      <w:r>
        <w:rPr>
          <w:b/>
          <w:color w:val="0F3B2C"/>
        </w:rPr>
        <w:t>Ajustes e comportamento seguro da IA</w:t>
      </w:r>
    </w:p>
    <w:p>
      <w:pPr>
        <w:ind w:left="280"/>
      </w:pPr>
      <w:r>
        <w:rPr/>
        <w:t>DNS, LLM local e par prompt↔resposta após os testes; cascata que não decide sem base e escala a humano.</w:t>
      </w:r>
    </w:p>
    <w:p/>
    <w:p>
      <w:r>
        <w:rPr>
          <w:b/>
          <w:color w:val="586A60"/>
          <w:sz w:val="17"/>
        </w:rPr>
        <w:t>GerencIA · rastreabilidade e governança de IA · Desafio 2 · Stark Bank · ITA Challenge Sprint · Semana 4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