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/>
          <w:b/>
          <w:color w:val="0F3B2C"/>
          <w:sz w:val="40"/>
        </w:rPr>
        <w:t>GerencIA — Roteiro do pitch de 5 minutos</w:t>
      </w:r>
    </w:p>
    <w:p>
      <w:r>
        <w:rPr>
          <w:color w:val="5A6A62"/>
          <w:sz w:val="20"/>
        </w:rPr>
        <w:t>7 blocos · total 5:40 · ritmo ~150 palavras/min · [colchetes] = marcação de palco, não se fala</w:t>
      </w:r>
    </w:p>
    <w:p>
      <w:r>
        <w:rPr>
          <w:rFonts w:ascii="Georgia" w:hAnsi="Georgia"/>
          <w:b/>
          <w:color w:val="0F3B2C"/>
          <w:sz w:val="30"/>
        </w:rPr>
        <w:t xml:space="preserve">Problema  </w:t>
      </w:r>
      <w:r>
        <w:rPr>
          <w:rFonts w:ascii="Consolas" w:hAnsi="Consolas"/>
          <w:color w:val="1C6B4D"/>
          <w:sz w:val="22"/>
        </w:rPr>
        <w:t>· 45s · 0:00–0:45</w:t>
      </w:r>
    </w:p>
    <w:p>
      <w:pPr>
        <w:spacing w:line="336" w:lineRule="auto"/>
      </w:pPr>
      <w:r>
        <w:rPr>
          <w:sz w:val="25"/>
        </w:rPr>
        <w:t>Imagine o Stark Bank hoje. Dezenas de pessoas usando ChatGPT, Gemini e Copilot no trabalho — e informação sensível indo junto: CPF de cliente, chave de API, projeção de resultado. A empresa até registra esse uso. Mas quando a gente olhou a base real do desafio, achou uma coisa incômoda: a empresa não consegue confiar no próprio registro. Sete de cada dez indicadores que ela declara divergem do que a base mostra. Ela acredita ter 6,8% de eventos críticos — são 16,6%. A governança de IA decide sobre números que erram por mais de duas vezes.</w:t>
      </w:r>
    </w:p>
    <w:p>
      <w:r>
        <w:rPr>
          <w:rFonts w:ascii="Georgia" w:hAnsi="Georgia"/>
          <w:b/>
          <w:color w:val="0F3B2C"/>
          <w:sz w:val="30"/>
        </w:rPr>
        <w:t xml:space="preserve">Insight  </w:t>
      </w:r>
      <w:r>
        <w:rPr>
          <w:rFonts w:ascii="Consolas" w:hAnsi="Consolas"/>
          <w:color w:val="1C6B4D"/>
          <w:sz w:val="22"/>
        </w:rPr>
        <w:t>· 45s · 0:45–1:30</w:t>
      </w:r>
    </w:p>
    <w:p>
      <w:pPr>
        <w:spacing w:line="336" w:lineRule="auto"/>
      </w:pPr>
      <w:r>
        <w:rPr>
          <w:sz w:val="25"/>
        </w:rPr>
        <w:t>E aí está o nosso insight. Quase toda solução para isso rastreia o uso — “o usuário X abriu a ferramenta Y às 14h”. É log de atividade. A gente virou a pergunta: rastrear a informação. “A chave secreta apareceu em cinco ferramentas, com trinta pessoas, trinta e cinco vezes — três em IA pública.” Isso é linhagem do dado, não log. E o segundo insight: não confiar na classificação que já veio pronta. O sistema reaplica a política, recalcula e audita a própria rotulagem. Foi assim que ele encontrou seis falhas que ninguém tinha visto.</w:t>
      </w:r>
    </w:p>
    <w:p>
      <w:r>
        <w:rPr>
          <w:rFonts w:ascii="Georgia" w:hAnsi="Georgia"/>
          <w:b/>
          <w:color w:val="0F3B2C"/>
          <w:sz w:val="30"/>
        </w:rPr>
        <w:t xml:space="preserve">Solução  </w:t>
      </w:r>
      <w:r>
        <w:rPr>
          <w:rFonts w:ascii="Consolas" w:hAnsi="Consolas"/>
          <w:color w:val="1C6B4D"/>
          <w:sz w:val="22"/>
        </w:rPr>
        <w:t>· 60s · 1:30–2:30</w:t>
      </w:r>
    </w:p>
    <w:p>
      <w:pPr>
        <w:spacing w:line="336" w:lineRule="auto"/>
      </w:pPr>
      <w:r>
        <w:rPr>
          <w:sz w:val="25"/>
        </w:rPr>
        <w:t>A solução é a GerencIA, com três camadas. Na borda, três sensores: uma extensão de navegador que vê o conteúdo digitado; um agente que roda como serviço do Windows e detecta uso de IA em qualquer aplicativo; e, opcional, um proxy para conteúdo fora do navegador. Tudo vai para um coletor central, on-premise, que resolve quem é o usuário pelo login do Windows — a página nunca decide isso. No meio, o cérebro: uma cascata de IA em três níveis. Primeiro, detectores determinísticos pegam CPF, cartão e credencial, na hora e auditável. O que eles não resolvem sobe para um modelo Qwen3 que roda no próprio servidor — o conteúdo não sai da empresa. Só o resíduo ambíguo vai para a nuvem. No fim, um painel com busca reversa, alertas com evidência e indicadores recalculados.</w:t>
      </w:r>
    </w:p>
    <w:p>
      <w:r>
        <w:rPr>
          <w:rFonts w:ascii="Georgia" w:hAnsi="Georgia"/>
          <w:b/>
          <w:color w:val="0F3B2C"/>
          <w:sz w:val="30"/>
        </w:rPr>
        <w:t xml:space="preserve">Demo  </w:t>
      </w:r>
      <w:r>
        <w:rPr>
          <w:rFonts w:ascii="Consolas" w:hAnsi="Consolas"/>
          <w:color w:val="1C6B4D"/>
          <w:sz w:val="22"/>
        </w:rPr>
        <w:t>· 60s · 2:30–3:30</w:t>
      </w:r>
    </w:p>
    <w:p>
      <w:pPr>
        <w:spacing w:line="336" w:lineRule="auto"/>
      </w:pPr>
      <w:r>
        <w:rPr>
          <w:sz w:val="25"/>
        </w:rPr>
        <w:t>[Compartilhe a tela no painel, vista Captura.] Deixa eu mostrar rodando. Esse é o painel ao vivo. Vou simular uma estação: um analista do Financeiro digita no ChatGPT “trace o perfil do cliente”, com um CPF. [A captura aparece na lista Usuário × IA.] Repare: em segundos a captura aparece aqui, já com o usuário certo — lido do Windows, não falsificável. O conteúdo foi classificado como Dado Pessoal, Crítico, pela regra R02, porque o ChatGPT não é aprovado. [Abra o card “Conteúdo capturado”.] E aqui está o texto exato enviado — o prompt e a resposta vinculados na mesma busca. Agora a parte que vende: [Abra a vista Rastrear e busque “dado de cliente”.] a busca reversa. Pergunto onde foi parar dado de cliente, e ele mostra todas as ferramentas, pessoas e vezes. É a pergunta do desafio, respondida.</w:t>
      </w:r>
    </w:p>
    <w:p>
      <w:r>
        <w:rPr>
          <w:rFonts w:ascii="Georgia" w:hAnsi="Georgia"/>
          <w:b/>
          <w:color w:val="0F3B2C"/>
          <w:sz w:val="30"/>
        </w:rPr>
        <w:t xml:space="preserve">Evidência  </w:t>
      </w:r>
      <w:r>
        <w:rPr>
          <w:rFonts w:ascii="Consolas" w:hAnsi="Consolas"/>
          <w:color w:val="1C6B4D"/>
          <w:sz w:val="22"/>
        </w:rPr>
        <w:t>· 60s · 3:30–4:30</w:t>
      </w:r>
    </w:p>
    <w:p>
      <w:pPr>
        <w:spacing w:line="336" w:lineRule="auto"/>
      </w:pPr>
      <w:r>
        <w:rPr>
          <w:sz w:val="25"/>
        </w:rPr>
        <w:t>E isso não é promessa — é medido. Rodamos a GerencIA contra a base oficial: seiscentos e cinquenta eventos, quatorze regras. Ela reproduz quinze de quinze casos do gabarito, sem exceção, e concorda com o nível de risco em 98,8%. As divergências não são erro — são exatamente os seis achados de auditoria: trinta e oito eventos cuja regra citada engana o auditor, dezoito em que a obrigação de LGPD some do registro, seis das quatorze regras que nunca disparam. E, diferente de muito protótipo de Sprint, não paramos no laboratório: instalamos numa estação Windows real — o agente como serviço, a extensão capturando conteúdo com identidade, o modelo local classificando. Funciona no ambiente de verdade.</w:t>
      </w:r>
    </w:p>
    <w:p>
      <w:r>
        <w:rPr>
          <w:rFonts w:ascii="Georgia" w:hAnsi="Georgia"/>
          <w:b/>
          <w:color w:val="0F3B2C"/>
          <w:sz w:val="30"/>
        </w:rPr>
        <w:t xml:space="preserve">Viabilidade  </w:t>
      </w:r>
      <w:r>
        <w:rPr>
          <w:rFonts w:ascii="Consolas" w:hAnsi="Consolas"/>
          <w:color w:val="1C6B4D"/>
          <w:sz w:val="22"/>
        </w:rPr>
        <w:t>· 30s · 4:30–5:00</w:t>
      </w:r>
    </w:p>
    <w:p>
      <w:pPr>
        <w:spacing w:line="336" w:lineRule="auto"/>
      </w:pPr>
      <w:r>
        <w:rPr>
          <w:sz w:val="25"/>
        </w:rPr>
        <w:t>Sobre viabilidade: o núcleo roda em Python puro, sem dependência de nuvem. O modelo que classifica o conteúdo roda no servidor da empresa — privacidade por desenho. A instalação em massa é por GPO ou Intune, o mesmo que a TI já usa. E o custo é baixo: a maioria resolve nos níveis locais, a nuvem é exceção. É implantável agora, não um conceito.</w:t>
      </w:r>
    </w:p>
    <w:p>
      <w:r>
        <w:rPr>
          <w:rFonts w:ascii="Georgia" w:hAnsi="Georgia"/>
          <w:b/>
          <w:color w:val="0F3B2C"/>
          <w:sz w:val="30"/>
        </w:rPr>
        <w:t xml:space="preserve">Valor  </w:t>
      </w:r>
      <w:r>
        <w:rPr>
          <w:rFonts w:ascii="Consolas" w:hAnsi="Consolas"/>
          <w:color w:val="1C6B4D"/>
          <w:sz w:val="22"/>
        </w:rPr>
        <w:t>· 40s · 5:00–5:40</w:t>
      </w:r>
    </w:p>
    <w:p>
      <w:pPr>
        <w:spacing w:line="336" w:lineRule="auto"/>
      </w:pPr>
      <w:r>
        <w:rPr>
          <w:sz w:val="25"/>
        </w:rPr>
        <w:t>O valor em uma frase: a GerencIA transforma “achamos que estamos seguros no uso de IA” em “conseguimos provar onde não estamos”. Ela dá à Compliance uma governança que fecha auditoria, devolve a obrigação de LGPD ao registro e mantém o conteúdo dentro do perímetro. Para um banco, isso não é luxo — é a diferença entre um vazamento e uma resposta com evidência. O próximo passo é um piloto numa área e, a partir dele, a empresa inteira. Obrigado.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211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