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22B0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ITA CHALLENGE SPRINT · SEMANA 1 · DIAGNÓSTICO DO PROBLEMA</w:t>
      </w:r>
    </w:p>
    <w:p w14:paraId="3EA970EF" w14:textId="77777777" w:rsidR="00B331D6" w:rsidRPr="004D1B22" w:rsidRDefault="00000000">
      <w:pPr>
        <w:rPr>
          <w:lang w:val="pt-BR"/>
        </w:rPr>
      </w:pPr>
      <w:proofErr w:type="spellStart"/>
      <w:r w:rsidRPr="004D1B22">
        <w:rPr>
          <w:rFonts w:ascii="Georgia" w:hAnsi="Georgia"/>
          <w:b/>
          <w:color w:val="0F3B2C"/>
          <w:sz w:val="44"/>
          <w:lang w:val="pt-BR"/>
        </w:rPr>
        <w:t>GerencIA</w:t>
      </w:r>
      <w:proofErr w:type="spellEnd"/>
      <w:r w:rsidRPr="004D1B22">
        <w:rPr>
          <w:rFonts w:ascii="Georgia" w:hAnsi="Georgia"/>
          <w:b/>
          <w:color w:val="0F3B2C"/>
          <w:sz w:val="44"/>
          <w:lang w:val="pt-BR"/>
        </w:rPr>
        <w:t xml:space="preserve"> — a empresa registra o uso de IA.</w:t>
      </w:r>
      <w:r w:rsidRPr="004D1B22">
        <w:rPr>
          <w:rFonts w:ascii="Georgia" w:hAnsi="Georgia"/>
          <w:b/>
          <w:color w:val="0F3B2C"/>
          <w:sz w:val="44"/>
          <w:lang w:val="pt-BR"/>
        </w:rPr>
        <w:br/>
        <w:t>Não consegue confiar no registro.</w:t>
      </w:r>
    </w:p>
    <w:p w14:paraId="055E671B" w14:textId="77777777" w:rsidR="00B331D6" w:rsidRPr="004D1B22" w:rsidRDefault="00000000">
      <w:pPr>
        <w:spacing w:line="300" w:lineRule="auto"/>
        <w:rPr>
          <w:lang w:val="pt-BR"/>
        </w:rPr>
      </w:pPr>
      <w:r w:rsidRPr="004D1B22">
        <w:rPr>
          <w:color w:val="5A6A62"/>
          <w:lang w:val="pt-BR"/>
        </w:rPr>
        <w:t>Governança de informação em ferramentas de IA no Stark Bank. Este documento é a entrega da Semana 1: define o problema, prova que ele existe na própria base da empresa e recorta o que cabe no Sprint.</w:t>
      </w:r>
    </w:p>
    <w:p w14:paraId="11A627F7" w14:textId="77777777" w:rsidR="00B331D6" w:rsidRPr="004D1B22" w:rsidRDefault="00000000">
      <w:pPr>
        <w:spacing w:line="300" w:lineRule="auto"/>
        <w:rPr>
          <w:lang w:val="pt-BR"/>
        </w:rPr>
      </w:pPr>
      <w:r w:rsidRPr="004D1B22">
        <w:rPr>
          <w:color w:val="5A6A62"/>
          <w:sz w:val="20"/>
          <w:lang w:val="pt-BR"/>
        </w:rPr>
        <w:t>Base oficial: 650 eventos · 72 usuários · 8 ferramentas · 20 tipos de informação · 14 regras.</w:t>
      </w:r>
    </w:p>
    <w:p w14:paraId="2E57E834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A DECISÃO QUE PRECISA MELHORAR</w:t>
      </w:r>
    </w:p>
    <w:p w14:paraId="7D73D294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1. Qual decisão ou processo precisa melhorar</w:t>
      </w:r>
    </w:p>
    <w:p w14:paraId="5F6260BD" w14:textId="77777777" w:rsidR="00B331D6" w:rsidRPr="004D1B22" w:rsidRDefault="00000000">
      <w:pPr>
        <w:spacing w:line="300" w:lineRule="auto"/>
        <w:rPr>
          <w:lang w:val="pt-BR"/>
        </w:rPr>
      </w:pPr>
      <w:r w:rsidRPr="004D1B22">
        <w:rPr>
          <w:color w:val="2C2C2A"/>
          <w:lang w:val="pt-BR"/>
        </w:rPr>
        <w:t>Como o Compliance decide o que é risco — e como audita essa decisão depois. Hoje cada uso de IA já chega classificado e com uma regra citada, mas a classificação é confiada, não verificada, e não há linhagem que ligue uma informação às ferramentas e às pessoas por onde passou.</w:t>
      </w:r>
    </w:p>
    <w:p w14:paraId="5C261EE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Hoje (log de atividade): </w:t>
      </w:r>
      <w:r w:rsidRPr="004D1B22">
        <w:rPr>
          <w:color w:val="2C2C2A"/>
          <w:lang w:val="pt-BR"/>
        </w:rPr>
        <w:t>“o usuário X acessou a ferramenta Y às 14h” — responde à pergunta errada e ninguém confere a regra citada.</w:t>
      </w:r>
    </w:p>
    <w:p w14:paraId="3D7D7C5C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Recorte proposto (linhagem da informação): </w:t>
      </w:r>
      <w:r w:rsidRPr="004D1B22">
        <w:rPr>
          <w:color w:val="2C2C2A"/>
          <w:lang w:val="pt-BR"/>
        </w:rPr>
        <w:t xml:space="preserve">“a chave/API </w:t>
      </w:r>
      <w:proofErr w:type="spellStart"/>
      <w:r w:rsidRPr="004D1B22">
        <w:rPr>
          <w:color w:val="2C2C2A"/>
          <w:lang w:val="pt-BR"/>
        </w:rPr>
        <w:t>secret</w:t>
      </w:r>
      <w:proofErr w:type="spellEnd"/>
      <w:r w:rsidRPr="004D1B22">
        <w:rPr>
          <w:color w:val="2C2C2A"/>
          <w:lang w:val="pt-BR"/>
        </w:rPr>
        <w:t xml:space="preserve"> apareceu em 5 ferramentas, com 30 pessoas, 35 vezes — 3 em IA pública”.</w:t>
      </w:r>
    </w:p>
    <w:p w14:paraId="12189E7B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POR QUE É RELEVANTE PARA O NEGÓCIO</w:t>
      </w:r>
    </w:p>
    <w:p w14:paraId="55848BFB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2. Por que o problema é relevante</w:t>
      </w:r>
    </w:p>
    <w:p w14:paraId="58FAF7F8" w14:textId="77777777" w:rsidR="00B331D6" w:rsidRPr="004D1B22" w:rsidRDefault="00000000">
      <w:pPr>
        <w:spacing w:line="300" w:lineRule="auto"/>
        <w:rPr>
          <w:lang w:val="pt-BR"/>
        </w:rPr>
      </w:pPr>
      <w:r w:rsidRPr="004D1B22">
        <w:rPr>
          <w:color w:val="2C2C2A"/>
          <w:lang w:val="pt-BR"/>
        </w:rPr>
        <w:t>O Stark Bank opera sob LGPD e regulação bancária. O material que transita nas ferramentas de IA é o mais sensível do banco, e a exposição é jurídica, de segurança e de propriedade intelectual ao mesmo tempo.</w:t>
      </w:r>
    </w:p>
    <w:p w14:paraId="2F07D27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Dado pessoal · CPF: </w:t>
      </w:r>
      <w:r w:rsidRPr="004D1B22">
        <w:rPr>
          <w:color w:val="2C2C2A"/>
          <w:lang w:val="pt-BR"/>
        </w:rPr>
        <w:t>LGPD: resposta de privacidade e possível comunicação ao titular e à ANPD.</w:t>
      </w:r>
    </w:p>
    <w:p w14:paraId="5A22E6B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Chave / API </w:t>
      </w:r>
      <w:proofErr w:type="spellStart"/>
      <w:r w:rsidRPr="004D1B22">
        <w:rPr>
          <w:b/>
          <w:color w:val="2C2C2A"/>
          <w:lang w:val="pt-BR"/>
        </w:rPr>
        <w:t>secret</w:t>
      </w:r>
      <w:proofErr w:type="spellEnd"/>
      <w:r w:rsidRPr="004D1B22">
        <w:rPr>
          <w:b/>
          <w:color w:val="2C2C2A"/>
          <w:lang w:val="pt-BR"/>
        </w:rPr>
        <w:t xml:space="preserve">: </w:t>
      </w:r>
      <w:r w:rsidRPr="004D1B22">
        <w:rPr>
          <w:color w:val="2C2C2A"/>
          <w:lang w:val="pt-BR"/>
        </w:rPr>
        <w:t>credencial exposta é acesso a sistema; risco crítico em qualquer ferramenta.</w:t>
      </w:r>
    </w:p>
    <w:p w14:paraId="07FADEF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Financeiro não divulgado: </w:t>
      </w:r>
      <w:r w:rsidRPr="004D1B22">
        <w:rPr>
          <w:color w:val="2C2C2A"/>
          <w:lang w:val="pt-BR"/>
        </w:rPr>
        <w:t>informação material antes da hora — risco regulatório e de mercado.</w:t>
      </w:r>
    </w:p>
    <w:p w14:paraId="3E497331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Código confidencial: </w:t>
      </w:r>
      <w:r w:rsidRPr="004D1B22">
        <w:rPr>
          <w:color w:val="2C2C2A"/>
          <w:lang w:val="pt-BR"/>
        </w:rPr>
        <w:t>propriedade intelectual entregue a um modelo de terceiro.</w:t>
      </w:r>
    </w:p>
    <w:p w14:paraId="22D4EC21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Ferramenta não aprovada: </w:t>
      </w:r>
      <w:r w:rsidRPr="004D1B22">
        <w:rPr>
          <w:color w:val="2C2C2A"/>
          <w:lang w:val="pt-BR"/>
        </w:rPr>
        <w:t>12,3% dos usos ocorrem fora das homologadas.</w:t>
      </w:r>
    </w:p>
    <w:p w14:paraId="5D7372D9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IA pública: </w:t>
      </w:r>
      <w:r w:rsidRPr="004D1B22">
        <w:rPr>
          <w:color w:val="2C2C2A"/>
          <w:lang w:val="pt-BR"/>
        </w:rPr>
        <w:t>conteúdo pode alimentar treino e sair do controle do banco.</w:t>
      </w:r>
    </w:p>
    <w:p w14:paraId="3109C5E6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COMPROVAÇÃO POR EVIDÊNCIAS</w:t>
      </w:r>
    </w:p>
    <w:p w14:paraId="5EF9E4F1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3. Quais evidências sustentam o diagnóstico</w:t>
      </w:r>
    </w:p>
    <w:p w14:paraId="33D0C9F8" w14:textId="77777777" w:rsidR="00B331D6" w:rsidRDefault="00000000">
      <w:pPr>
        <w:spacing w:line="300" w:lineRule="auto"/>
      </w:pPr>
      <w:r w:rsidRPr="004D1B22">
        <w:rPr>
          <w:color w:val="2C2C2A"/>
          <w:lang w:val="pt-BR"/>
        </w:rPr>
        <w:lastRenderedPageBreak/>
        <w:t xml:space="preserve">Reaplicamos as 14 regras aos 650 eventos e auditamos a rotulagem existente. </w:t>
      </w:r>
      <w:r>
        <w:rPr>
          <w:color w:val="2C2C2A"/>
        </w:rPr>
        <w:t xml:space="preserve">Seis </w:t>
      </w:r>
      <w:proofErr w:type="spellStart"/>
      <w:r>
        <w:rPr>
          <w:color w:val="2C2C2A"/>
        </w:rPr>
        <w:t>achados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todos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verificáveis</w:t>
      </w:r>
      <w:proofErr w:type="spellEnd"/>
      <w:r>
        <w:rPr>
          <w:color w:val="2C2C2A"/>
        </w:rPr>
        <w:t xml:space="preserve"> célula a célula na planilha: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31D6" w:rsidRPr="004D1B22" w14:paraId="702F9B53" w14:textId="77777777" w:rsidTr="00B33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E0EF74" w14:textId="77777777" w:rsidR="00B331D6" w:rsidRDefault="00000000">
            <w:r>
              <w:rPr>
                <w:color w:val="0F3B2C"/>
                <w:sz w:val="20"/>
              </w:rPr>
              <w:t>Achado</w:t>
            </w:r>
          </w:p>
        </w:tc>
        <w:tc>
          <w:tcPr>
            <w:tcW w:w="3120" w:type="dxa"/>
          </w:tcPr>
          <w:p w14:paraId="2F4F3678" w14:textId="77777777" w:rsidR="00B331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3B2C"/>
                <w:sz w:val="20"/>
              </w:rPr>
              <w:t>Nº</w:t>
            </w:r>
          </w:p>
        </w:tc>
        <w:tc>
          <w:tcPr>
            <w:tcW w:w="3120" w:type="dxa"/>
          </w:tcPr>
          <w:p w14:paraId="0CE960B4" w14:textId="77777777" w:rsidR="00B331D6" w:rsidRPr="004D1B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color w:val="0F3B2C"/>
                <w:sz w:val="20"/>
                <w:lang w:val="pt-BR"/>
              </w:rPr>
              <w:t>O que a auditoria encontrou</w:t>
            </w:r>
          </w:p>
        </w:tc>
      </w:tr>
      <w:tr w:rsidR="00B331D6" w:rsidRPr="004D1B22" w14:paraId="211F49EB" w14:textId="77777777" w:rsidTr="00B3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66B95C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A-01</w:t>
            </w:r>
          </w:p>
        </w:tc>
        <w:tc>
          <w:tcPr>
            <w:tcW w:w="3120" w:type="dxa"/>
          </w:tcPr>
          <w:p w14:paraId="18E1E227" w14:textId="77777777" w:rsidR="00B33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A9660F"/>
              </w:rPr>
              <w:t>38</w:t>
            </w:r>
          </w:p>
        </w:tc>
        <w:tc>
          <w:tcPr>
            <w:tcW w:w="3120" w:type="dxa"/>
          </w:tcPr>
          <w:p w14:paraId="2CADC304" w14:textId="77777777" w:rsidR="00B331D6" w:rsidRPr="004D1B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Eventos citam regra de “ferramenta aprovada”, mas ocorreram em IA pública — a trilha de auditoria induz o auditor a erro.</w:t>
            </w:r>
          </w:p>
        </w:tc>
      </w:tr>
      <w:tr w:rsidR="00B331D6" w:rsidRPr="004D1B22" w14:paraId="177FEE16" w14:textId="77777777" w:rsidTr="00B331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639190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A-02</w:t>
            </w:r>
          </w:p>
        </w:tc>
        <w:tc>
          <w:tcPr>
            <w:tcW w:w="3120" w:type="dxa"/>
          </w:tcPr>
          <w:p w14:paraId="2ED42F4F" w14:textId="77777777" w:rsidR="00B331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A9660F"/>
              </w:rPr>
              <w:t>18</w:t>
            </w:r>
          </w:p>
        </w:tc>
        <w:tc>
          <w:tcPr>
            <w:tcW w:w="3120" w:type="dxa"/>
          </w:tcPr>
          <w:p w14:paraId="1D27B60E" w14:textId="77777777" w:rsidR="00B331D6" w:rsidRPr="004D1B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Fechados com regra genérica onde há regra específica (R04/R05/R06) — a obrigação de LGPD desaparece do registro.</w:t>
            </w:r>
          </w:p>
        </w:tc>
      </w:tr>
      <w:tr w:rsidR="00B331D6" w:rsidRPr="004D1B22" w14:paraId="18AA489B" w14:textId="77777777" w:rsidTr="00B3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DD81E8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A-03</w:t>
            </w:r>
          </w:p>
        </w:tc>
        <w:tc>
          <w:tcPr>
            <w:tcW w:w="3120" w:type="dxa"/>
          </w:tcPr>
          <w:p w14:paraId="49CD78CC" w14:textId="77777777" w:rsidR="00B33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A9660F"/>
              </w:rPr>
              <w:t>8</w:t>
            </w:r>
          </w:p>
        </w:tc>
        <w:tc>
          <w:tcPr>
            <w:tcW w:w="3120" w:type="dxa"/>
          </w:tcPr>
          <w:p w14:paraId="6AA009F1" w14:textId="77777777" w:rsidR="00B331D6" w:rsidRPr="004D1B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Conteúdo interno/confidencial no gerador de imagens “só público” — deveriam ser Alto e virar alerta; não viraram.</w:t>
            </w:r>
          </w:p>
        </w:tc>
      </w:tr>
      <w:tr w:rsidR="00B331D6" w:rsidRPr="004D1B22" w14:paraId="1884F97D" w14:textId="77777777" w:rsidTr="00B331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B024EB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A-04</w:t>
            </w:r>
          </w:p>
        </w:tc>
        <w:tc>
          <w:tcPr>
            <w:tcW w:w="3120" w:type="dxa"/>
          </w:tcPr>
          <w:p w14:paraId="1B853792" w14:textId="77777777" w:rsidR="00B331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A9660F"/>
              </w:rPr>
              <w:t>6/14</w:t>
            </w:r>
          </w:p>
        </w:tc>
        <w:tc>
          <w:tcPr>
            <w:tcW w:w="3120" w:type="dxa"/>
          </w:tcPr>
          <w:p w14:paraId="60B19A9A" w14:textId="77777777" w:rsidR="00B331D6" w:rsidRPr="004D1B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Regras que nunca disparam — a política aparenta 14 controles e opera com 8.</w:t>
            </w:r>
          </w:p>
        </w:tc>
      </w:tr>
      <w:tr w:rsidR="00B331D6" w:rsidRPr="004D1B22" w14:paraId="31F9705D" w14:textId="77777777" w:rsidTr="00B3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63E755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A-05</w:t>
            </w:r>
          </w:p>
        </w:tc>
        <w:tc>
          <w:tcPr>
            <w:tcW w:w="3120" w:type="dxa"/>
          </w:tcPr>
          <w:p w14:paraId="53AE8730" w14:textId="77777777" w:rsidR="00B331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A9660F"/>
              </w:rPr>
              <w:t>47</w:t>
            </w:r>
          </w:p>
        </w:tc>
        <w:tc>
          <w:tcPr>
            <w:tcW w:w="3120" w:type="dxa"/>
          </w:tcPr>
          <w:p w14:paraId="69851813" w14:textId="77777777" w:rsidR="00B331D6" w:rsidRPr="004D1B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Alertas “tratados” sem data de tratamento — o SLA de 24h é declarado, não medido.</w:t>
            </w:r>
          </w:p>
        </w:tc>
      </w:tr>
      <w:tr w:rsidR="00B331D6" w:rsidRPr="004D1B22" w14:paraId="3EC5FE7D" w14:textId="77777777" w:rsidTr="00B331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5862FF" w14:textId="77777777" w:rsidR="00B331D6" w:rsidRDefault="00000000">
            <w:r>
              <w:rPr>
                <w:rFonts w:ascii="Consolas" w:hAnsi="Consolas"/>
                <w:color w:val="0F3B2C"/>
                <w:sz w:val="20"/>
              </w:rPr>
              <w:t>A-06</w:t>
            </w:r>
          </w:p>
        </w:tc>
        <w:tc>
          <w:tcPr>
            <w:tcW w:w="3120" w:type="dxa"/>
          </w:tcPr>
          <w:p w14:paraId="5EDAA7DA" w14:textId="77777777" w:rsidR="00B331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A9660F"/>
              </w:rPr>
              <w:t>38</w:t>
            </w:r>
          </w:p>
        </w:tc>
        <w:tc>
          <w:tcPr>
            <w:tcW w:w="3120" w:type="dxa"/>
          </w:tcPr>
          <w:p w14:paraId="05664086" w14:textId="77777777" w:rsidR="00B331D6" w:rsidRPr="004D1B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1B22">
              <w:rPr>
                <w:sz w:val="20"/>
                <w:lang w:val="pt-BR"/>
              </w:rPr>
              <w:t>Combinação que nenhuma regra cobre — lacuna de política; propomos a regra R15.</w:t>
            </w:r>
          </w:p>
        </w:tc>
      </w:tr>
    </w:tbl>
    <w:p w14:paraId="4CC0E8E3" w14:textId="77777777" w:rsidR="00B331D6" w:rsidRPr="004D1B22" w:rsidRDefault="00B331D6">
      <w:pPr>
        <w:spacing w:line="300" w:lineRule="auto"/>
        <w:rPr>
          <w:lang w:val="pt-BR"/>
        </w:rPr>
      </w:pPr>
    </w:p>
    <w:p w14:paraId="1FB32063" w14:textId="77777777" w:rsidR="00B331D6" w:rsidRPr="004D1B22" w:rsidRDefault="00000000">
      <w:pPr>
        <w:spacing w:line="300" w:lineRule="auto"/>
        <w:rPr>
          <w:lang w:val="pt-BR"/>
        </w:rPr>
      </w:pPr>
      <w:r w:rsidRPr="004D1B22">
        <w:rPr>
          <w:lang w:val="pt-BR"/>
        </w:rPr>
        <w:t>O número que decide: 7 de 10 indicadores que a empresa declara divergem do que a base mostra quando recalculada. Entre eles, eventos críticos declarados a 6,8% contra 16,6% reais (a empresa subnotifica a própria exposição em ~2,4×); 61 usuários ativos declarados contra 72; e “alertas tratados em 24h” a 72% que, sem carimbo de tempo, não é apurável.</w:t>
      </w:r>
    </w:p>
    <w:p w14:paraId="35EE3A3A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QUEM É IMPACTADO</w:t>
      </w:r>
    </w:p>
    <w:p w14:paraId="0F3C88C2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4. Quem é impactado</w:t>
      </w:r>
    </w:p>
    <w:p w14:paraId="20572B1B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Compliance / DPO: </w:t>
      </w:r>
      <w:r w:rsidRPr="004D1B22">
        <w:rPr>
          <w:color w:val="2C2C2A"/>
          <w:lang w:val="pt-BR"/>
        </w:rPr>
        <w:t>audita sobre uma trilha que confunde registro com evidência.</w:t>
      </w:r>
    </w:p>
    <w:p w14:paraId="4B1D803A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Segurança / CISO: </w:t>
      </w:r>
      <w:r w:rsidRPr="004D1B22">
        <w:rPr>
          <w:color w:val="2C2C2A"/>
          <w:lang w:val="pt-BR"/>
        </w:rPr>
        <w:t>segredos e código expostos a terceiros, sem visão de qual informação saiu por onde.</w:t>
      </w:r>
    </w:p>
    <w:p w14:paraId="45CD0D9B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72 usuários · 12 áreas: </w:t>
      </w:r>
      <w:r w:rsidRPr="004D1B22">
        <w:rPr>
          <w:color w:val="2C2C2A"/>
          <w:lang w:val="pt-BR"/>
        </w:rPr>
        <w:t>usam IA no trabalho real, sem regra clara para os casos comuns.</w:t>
      </w:r>
    </w:p>
    <w:p w14:paraId="668FD9A9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Direção / Conselho: </w:t>
      </w:r>
      <w:r w:rsidRPr="004D1B22">
        <w:rPr>
          <w:color w:val="2C2C2A"/>
          <w:lang w:val="pt-BR"/>
        </w:rPr>
        <w:t>decide risco sobre indicadores que erram por 2,4×.</w:t>
      </w:r>
    </w:p>
    <w:p w14:paraId="379E06E1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Clientes / titulares: </w:t>
      </w:r>
      <w:r w:rsidRPr="004D1B22">
        <w:rPr>
          <w:color w:val="2C2C2A"/>
          <w:lang w:val="pt-BR"/>
        </w:rPr>
        <w:t>dados pessoais podem alcançar uma IA pública sem a resposta de privacidade da LGPD.</w:t>
      </w:r>
    </w:p>
    <w:p w14:paraId="447AC173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QUAL IMPACTO O PROBLEMA GERA</w:t>
      </w:r>
    </w:p>
    <w:p w14:paraId="345C3F35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5. Qual impacto ele gera</w:t>
      </w:r>
    </w:p>
    <w:p w14:paraId="51F19358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lastRenderedPageBreak/>
        <w:t xml:space="preserve">Regulatório: </w:t>
      </w:r>
      <w:r w:rsidRPr="004D1B22">
        <w:rPr>
          <w:color w:val="2C2C2A"/>
          <w:lang w:val="pt-BR"/>
        </w:rPr>
        <w:t>exposição a LGPD e à regulação bancária, com a obrigação sumindo do registro (A-02).</w:t>
      </w:r>
    </w:p>
    <w:p w14:paraId="3BAE6E8F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Segurança / PI: </w:t>
      </w:r>
      <w:r w:rsidRPr="004D1B22">
        <w:rPr>
          <w:color w:val="2C2C2A"/>
          <w:lang w:val="pt-BR"/>
        </w:rPr>
        <w:t>credenciais e código confidencial em modelos de terceiros, sem trilha.</w:t>
      </w:r>
    </w:p>
    <w:p w14:paraId="2DD44AC1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Decisão sobre dado errado: </w:t>
      </w:r>
      <w:r w:rsidRPr="004D1B22">
        <w:rPr>
          <w:color w:val="2C2C2A"/>
          <w:lang w:val="pt-BR"/>
        </w:rPr>
        <w:t>governança apoiada num painel que subnotifica o risco crítico em 2,4×.</w:t>
      </w:r>
    </w:p>
    <w:p w14:paraId="444489A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Auditoria não conclusiva: </w:t>
      </w:r>
      <w:r w:rsidRPr="004D1B22">
        <w:rPr>
          <w:color w:val="2C2C2A"/>
          <w:lang w:val="pt-BR"/>
        </w:rPr>
        <w:t>a política aparenta 14 controles e opera com 8; a trilha induz o auditor a erro.</w:t>
      </w:r>
    </w:p>
    <w:p w14:paraId="1462C190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O RECORTE DO PROJETO</w:t>
      </w:r>
    </w:p>
    <w:p w14:paraId="2BA873A0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6. Qual parte será tratada — e o que fica fora do escopo</w:t>
      </w:r>
    </w:p>
    <w:p w14:paraId="78689172" w14:textId="77777777" w:rsidR="00B331D6" w:rsidRDefault="00000000">
      <w:pPr>
        <w:spacing w:line="300" w:lineRule="auto"/>
      </w:pPr>
      <w:proofErr w:type="spellStart"/>
      <w:r>
        <w:rPr>
          <w:color w:val="1C6B4D"/>
        </w:rPr>
        <w:t>Dentro</w:t>
      </w:r>
      <w:proofErr w:type="spellEnd"/>
      <w:r>
        <w:rPr>
          <w:color w:val="1C6B4D"/>
        </w:rPr>
        <w:t xml:space="preserve"> do </w:t>
      </w:r>
      <w:proofErr w:type="spellStart"/>
      <w:r>
        <w:rPr>
          <w:color w:val="1C6B4D"/>
        </w:rPr>
        <w:t>protótipo</w:t>
      </w:r>
      <w:proofErr w:type="spellEnd"/>
      <w:r>
        <w:rPr>
          <w:color w:val="1C6B4D"/>
        </w:rPr>
        <w:t>:</w:t>
      </w:r>
    </w:p>
    <w:p w14:paraId="5EA0B7D3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Busca reversa da informação: </w:t>
      </w:r>
      <w:r w:rsidRPr="004D1B22">
        <w:rPr>
          <w:color w:val="2C2C2A"/>
          <w:lang w:val="pt-BR"/>
        </w:rPr>
        <w:t>do documento para as ferramentas e pessoas.</w:t>
      </w:r>
    </w:p>
    <w:p w14:paraId="56B90BC4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Reaplicação da política: </w:t>
      </w:r>
      <w:r w:rsidRPr="004D1B22">
        <w:rPr>
          <w:color w:val="2C2C2A"/>
          <w:lang w:val="pt-BR"/>
        </w:rPr>
        <w:t>com precedência declarada e cadeia de evidências.</w:t>
      </w:r>
    </w:p>
    <w:p w14:paraId="1405508C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Auditoria da rotulagem: </w:t>
      </w:r>
      <w:r w:rsidRPr="004D1B22">
        <w:rPr>
          <w:color w:val="2C2C2A"/>
          <w:lang w:val="pt-BR"/>
        </w:rPr>
        <w:t>os seis achados e os indicadores recalculados.</w:t>
      </w:r>
    </w:p>
    <w:p w14:paraId="2AEFC561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Alertas: </w:t>
      </w:r>
      <w:r w:rsidRPr="004D1B22">
        <w:rPr>
          <w:color w:val="2C2C2A"/>
          <w:lang w:val="pt-BR"/>
        </w:rPr>
        <w:t>por nível de risco, com filtros por área, usuário, ferramenta e período.</w:t>
      </w:r>
    </w:p>
    <w:p w14:paraId="4B73EEC2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Captura na borda: </w:t>
      </w:r>
      <w:r w:rsidRPr="004D1B22">
        <w:rPr>
          <w:color w:val="2C2C2A"/>
          <w:lang w:val="pt-BR"/>
        </w:rPr>
        <w:t>extensão + sensor como presente, unificada ao legado da planilha.</w:t>
      </w:r>
    </w:p>
    <w:p w14:paraId="399B5E1F" w14:textId="77777777" w:rsidR="00B331D6" w:rsidRDefault="00000000">
      <w:pPr>
        <w:spacing w:line="300" w:lineRule="auto"/>
      </w:pPr>
      <w:r>
        <w:rPr>
          <w:color w:val="A9660F"/>
        </w:rPr>
        <w:t xml:space="preserve">Fora do </w:t>
      </w:r>
      <w:proofErr w:type="spellStart"/>
      <w:r>
        <w:rPr>
          <w:color w:val="A9660F"/>
        </w:rPr>
        <w:t>protótipo</w:t>
      </w:r>
      <w:proofErr w:type="spellEnd"/>
      <w:r>
        <w:rPr>
          <w:color w:val="A9660F"/>
        </w:rPr>
        <w:t>:</w:t>
      </w:r>
    </w:p>
    <w:p w14:paraId="18769658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Bloqueio ativo: </w:t>
      </w:r>
      <w:r w:rsidRPr="004D1B22">
        <w:rPr>
          <w:color w:val="2C2C2A"/>
          <w:lang w:val="pt-BR"/>
        </w:rPr>
        <w:t>prevenção em linha — o sistema observa e governa, não interrompe.</w:t>
      </w:r>
    </w:p>
    <w:p w14:paraId="18726199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Leitura de conteúdo cifrado: </w:t>
      </w:r>
      <w:r w:rsidRPr="004D1B22">
        <w:rPr>
          <w:color w:val="2C2C2A"/>
          <w:lang w:val="pt-BR"/>
        </w:rPr>
        <w:t>MITM — o sensor registra metadado, nunca o texto.</w:t>
      </w:r>
    </w:p>
    <w:p w14:paraId="7716E3D3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Detecção de paráfrase: </w:t>
      </w:r>
      <w:r w:rsidRPr="004D1B22">
        <w:rPr>
          <w:color w:val="2C2C2A"/>
          <w:lang w:val="pt-BR"/>
        </w:rPr>
        <w:t xml:space="preserve">o </w:t>
      </w:r>
      <w:proofErr w:type="spellStart"/>
      <w:r w:rsidRPr="004D1B22">
        <w:rPr>
          <w:color w:val="2C2C2A"/>
          <w:lang w:val="pt-BR"/>
        </w:rPr>
        <w:t>fingerprint</w:t>
      </w:r>
      <w:proofErr w:type="spellEnd"/>
      <w:r w:rsidRPr="004D1B22">
        <w:rPr>
          <w:color w:val="2C2C2A"/>
          <w:lang w:val="pt-BR"/>
        </w:rPr>
        <w:t xml:space="preserve"> pega recorte e colagem, não reescrita.</w:t>
      </w:r>
    </w:p>
    <w:p w14:paraId="442F0D2A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Integração de produção: </w:t>
      </w:r>
      <w:r w:rsidRPr="004D1B22">
        <w:rPr>
          <w:color w:val="2C2C2A"/>
          <w:lang w:val="pt-BR"/>
        </w:rPr>
        <w:t>SIEM/</w:t>
      </w:r>
      <w:proofErr w:type="spellStart"/>
      <w:r w:rsidRPr="004D1B22">
        <w:rPr>
          <w:color w:val="2C2C2A"/>
          <w:lang w:val="pt-BR"/>
        </w:rPr>
        <w:t>IdP</w:t>
      </w:r>
      <w:proofErr w:type="spellEnd"/>
      <w:r w:rsidRPr="004D1B22">
        <w:rPr>
          <w:color w:val="2C2C2A"/>
          <w:lang w:val="pt-BR"/>
        </w:rPr>
        <w:t xml:space="preserve"> — mostramos o contrato, não a ligação final.</w:t>
      </w:r>
    </w:p>
    <w:p w14:paraId="5C18D34E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Substituir o DLP: </w:t>
      </w:r>
      <w:r w:rsidRPr="004D1B22">
        <w:rPr>
          <w:color w:val="2C2C2A"/>
          <w:lang w:val="pt-BR"/>
        </w:rPr>
        <w:t>demonstramos a camada, não trocamos a existente.</w:t>
      </w:r>
    </w:p>
    <w:p w14:paraId="3F6F4961" w14:textId="77777777" w:rsidR="00B331D6" w:rsidRPr="004D1B22" w:rsidRDefault="00000000">
      <w:pPr>
        <w:rPr>
          <w:lang w:val="pt-BR"/>
        </w:rPr>
      </w:pPr>
      <w:r w:rsidRPr="004D1B22">
        <w:rPr>
          <w:rFonts w:ascii="Consolas" w:hAnsi="Consolas"/>
          <w:b/>
          <w:color w:val="1C6B4D"/>
          <w:sz w:val="18"/>
          <w:lang w:val="pt-BR"/>
        </w:rPr>
        <w:t>COMO ISTO RESPONDE AO CRITÉRIO DA SEMANA 1</w:t>
      </w:r>
    </w:p>
    <w:p w14:paraId="2B5ED340" w14:textId="77777777" w:rsidR="00B331D6" w:rsidRPr="004D1B22" w:rsidRDefault="00000000">
      <w:pPr>
        <w:rPr>
          <w:lang w:val="pt-BR"/>
        </w:rPr>
      </w:pPr>
      <w:r w:rsidRPr="004D1B22">
        <w:rPr>
          <w:rFonts w:ascii="Georgia" w:hAnsi="Georgia"/>
          <w:b/>
          <w:color w:val="0F3B2C"/>
          <w:sz w:val="30"/>
          <w:lang w:val="pt-BR"/>
        </w:rPr>
        <w:t>Critério da Semana 1 — relevância e clareza do problema</w:t>
      </w:r>
    </w:p>
    <w:p w14:paraId="6FDAFCE3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01 · Compreensão do problema: </w:t>
      </w:r>
      <w:r w:rsidRPr="004D1B22">
        <w:rPr>
          <w:color w:val="2C2C2A"/>
          <w:lang w:val="pt-BR"/>
        </w:rPr>
        <w:t>o problema não é registrar uso, é confiar no registro e ter linhagem da informação.</w:t>
      </w:r>
    </w:p>
    <w:p w14:paraId="3F248AF9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02 · Relevância para o negócio: </w:t>
      </w:r>
      <w:r w:rsidRPr="004D1B22">
        <w:rPr>
          <w:color w:val="2C2C2A"/>
          <w:lang w:val="pt-BR"/>
        </w:rPr>
        <w:t xml:space="preserve">fintech sob LGPD e regulação bancária; o que transita nas </w:t>
      </w:r>
      <w:proofErr w:type="spellStart"/>
      <w:r w:rsidRPr="004D1B22">
        <w:rPr>
          <w:color w:val="2C2C2A"/>
          <w:lang w:val="pt-BR"/>
        </w:rPr>
        <w:t>IAs</w:t>
      </w:r>
      <w:proofErr w:type="spellEnd"/>
      <w:r w:rsidRPr="004D1B22">
        <w:rPr>
          <w:color w:val="2C2C2A"/>
          <w:lang w:val="pt-BR"/>
        </w:rPr>
        <w:t xml:space="preserve"> é o material mais sensível.</w:t>
      </w:r>
    </w:p>
    <w:p w14:paraId="77F44BB2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03 · Comprovação por evidências: </w:t>
      </w:r>
      <w:r w:rsidRPr="004D1B22">
        <w:rPr>
          <w:color w:val="2C2C2A"/>
          <w:lang w:val="pt-BR"/>
        </w:rPr>
        <w:t>seis achados verificáveis e 7 de 10 indicadores divergentes, na própria base oficial.</w:t>
      </w:r>
    </w:p>
    <w:p w14:paraId="7208D250" w14:textId="77777777" w:rsidR="00B331D6" w:rsidRPr="004D1B22" w:rsidRDefault="00000000">
      <w:pPr>
        <w:pStyle w:val="Commarcadores"/>
        <w:spacing w:line="288" w:lineRule="auto"/>
        <w:rPr>
          <w:lang w:val="pt-BR"/>
        </w:rPr>
      </w:pPr>
      <w:r w:rsidRPr="004D1B22">
        <w:rPr>
          <w:b/>
          <w:color w:val="2C2C2A"/>
          <w:lang w:val="pt-BR"/>
        </w:rPr>
        <w:t xml:space="preserve">04 · Recorte do projeto: </w:t>
      </w:r>
      <w:r w:rsidRPr="004D1B22">
        <w:rPr>
          <w:color w:val="2C2C2A"/>
          <w:lang w:val="pt-BR"/>
        </w:rPr>
        <w:t>rastreabilidade, reaplicação da política, auditoria e alertas; bloqueio e MITM fora do escopo.</w:t>
      </w:r>
    </w:p>
    <w:sectPr w:rsidR="00B331D6" w:rsidRPr="004D1B22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134847">
    <w:abstractNumId w:val="8"/>
  </w:num>
  <w:num w:numId="2" w16cid:durableId="947011225">
    <w:abstractNumId w:val="6"/>
  </w:num>
  <w:num w:numId="3" w16cid:durableId="752779131">
    <w:abstractNumId w:val="5"/>
  </w:num>
  <w:num w:numId="4" w16cid:durableId="1859200359">
    <w:abstractNumId w:val="4"/>
  </w:num>
  <w:num w:numId="5" w16cid:durableId="480073823">
    <w:abstractNumId w:val="7"/>
  </w:num>
  <w:num w:numId="6" w16cid:durableId="355205147">
    <w:abstractNumId w:val="3"/>
  </w:num>
  <w:num w:numId="7" w16cid:durableId="1008171605">
    <w:abstractNumId w:val="2"/>
  </w:num>
  <w:num w:numId="8" w16cid:durableId="214857484">
    <w:abstractNumId w:val="1"/>
  </w:num>
  <w:num w:numId="9" w16cid:durableId="131618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B22"/>
    <w:rsid w:val="00AA1D8D"/>
    <w:rsid w:val="00B331D6"/>
    <w:rsid w:val="00B47730"/>
    <w:rsid w:val="00CB0664"/>
    <w:rsid w:val="00E93DB9"/>
    <w:rsid w:val="00F91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ABA01"/>
  <w14:defaultImageDpi w14:val="300"/>
  <w15:docId w15:val="{F9BB5F4F-C26D-CC46-8479-65E7107E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6211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3</Pages>
  <Words>892</Words>
  <Characters>4568</Characters>
  <Application>Microsoft Office Word</Application>
  <DocSecurity>0</DocSecurity>
  <Lines>114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Oliveira Goulart</cp:lastModifiedBy>
  <cp:revision>2</cp:revision>
  <dcterms:created xsi:type="dcterms:W3CDTF">2013-12-23T23:15:00Z</dcterms:created>
  <dcterms:modified xsi:type="dcterms:W3CDTF">2026-09-27T21:41:00Z</dcterms:modified>
  <cp:category/>
</cp:coreProperties>
</file>