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1C6B4D"/>
          <w:sz w:val="18"/>
        </w:rPr>
        <w:t>ITA CHALLENGE SPRINT · SEMANA 2 · HIPÓTESE DE SOLUÇÃO</w:t>
      </w:r>
    </w:p>
    <w:p>
      <w:r>
        <w:rPr>
          <w:rFonts w:ascii="Georgia" w:hAnsi="Georgia"/>
          <w:b/>
          <w:color w:val="0F3B2C"/>
          <w:sz w:val="40"/>
        </w:rPr>
        <w:t>GerencIA — rastrear a informação que entra na IA, e provar o risco</w:t>
      </w:r>
    </w:p>
    <w:p>
      <w:pPr>
        <w:spacing w:line="300" w:lineRule="auto"/>
      </w:pPr>
      <w:r>
        <w:rPr>
          <w:color w:val="5A6A62"/>
          <w:sz w:val="22"/>
        </w:rPr>
        <w:t>Documento da Semana 2: como a solução em desenvolvimento atende aos requisitos do Desafio 2 (Stark Bank) — funcionamento, papel da IA, linha de base, métrica e meta, e dados. Base oficial: 650 eventos, 160 alertas, 8 ferramentas, 20 tipos de informação, 72 usuários, 14 regras (dados fictícios, declarado na planilha).</w:t>
      </w:r>
    </w:p>
    <w:p>
      <w:r>
        <w:rPr>
          <w:rFonts w:ascii="Georgia" w:hAnsi="Georgia"/>
          <w:b/>
          <w:color w:val="0F3B2C"/>
          <w:sz w:val="30"/>
        </w:rPr>
        <w:t>Funcionamento da solução</w:t>
      </w:r>
    </w:p>
    <w:p>
      <w:pPr>
        <w:spacing w:line="300" w:lineRule="auto"/>
      </w:pPr>
      <w:r>
        <w:rPr>
          <w:color w:val="2C2C2A"/>
          <w:sz w:val="22"/>
        </w:rPr>
        <w:t>GerencIA rastreia a informação, não o clique: em vez de “o usuário X abriu o ChatGPT às 14h”, responde “a chave/API secret apareceu em 5 ferramentas, com 30 pessoas, 35 vezes — 3 em IA pública”, reaplica a política de risco com cadeia de evidência e audita a rotulagem existente. O mecanismo tem quatro movimentos: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Capturar na borda: </w:t>
      </w:r>
      <w:r>
        <w:rPr>
          <w:b w:val="0"/>
          <w:color w:val="2C2C2A"/>
          <w:sz w:val="22"/>
        </w:rPr>
        <w:t>três camadas complementares observam o uso de IA na estação e enviam a um coletor central on-premise.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Resolver a identidade no SO: </w:t>
      </w:r>
      <w:r>
        <w:rPr>
          <w:b w:val="0"/>
          <w:color w:val="2C2C2A"/>
          <w:sz w:val="22"/>
        </w:rPr>
        <w:t>quem usou é o usuário logado na máquina, nunca decidido pela página.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Reaplicar a política com IA: </w:t>
      </w:r>
      <w:r>
        <w:rPr>
          <w:b w:val="0"/>
          <w:color w:val="2C2C2A"/>
          <w:sz w:val="22"/>
        </w:rPr>
        <w:t>um motor classifica, decide o risco por precedência e monta a evidência; o que a regra não resolve sobe para uma LLM, que devolve aprendizado.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Unificar e investigar: </w:t>
      </w:r>
      <w:r>
        <w:rPr>
          <w:b w:val="0"/>
          <w:color w:val="2C2C2A"/>
          <w:sz w:val="22"/>
        </w:rPr>
        <w:t>planilha (legado) e capturas (presente) na mesma base e motor; o painel dá busca reversa, alertas e indicadores recalculados.</w:t>
      </w:r>
    </w:p>
    <w:p>
      <w:r>
        <w:rPr>
          <w:rFonts w:ascii="Georgia" w:hAnsi="Georgia"/>
          <w:b/>
          <w:color w:val="0F3B2C"/>
          <w:sz w:val="30"/>
        </w:rPr>
        <w:t>Arquitetura (o desenho)</w:t>
      </w:r>
    </w:p>
    <w:p>
      <w:pPr>
        <w:spacing w:line="300" w:lineRule="auto"/>
      </w:pPr>
      <w:r>
        <w:rPr>
          <w:color w:val="2C2C2A"/>
          <w:sz w:val="22"/>
        </w:rPr>
        <w:t>Fluxo, de cima para baixo: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Captura na borda: </w:t>
      </w:r>
      <w:r>
        <w:rPr>
          <w:b w:val="0"/>
          <w:color w:val="2C2C2A"/>
          <w:sz w:val="22"/>
        </w:rPr>
        <w:t>Extensão (conteúdo, no navegador) · Agente/serviço (metadado, qualquer app, sobe no boot) · Proxy MITM (conteúdo, qualquer app, opcional e corporativo).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Coletor central (on-premise): </w:t>
      </w:r>
      <w:r>
        <w:rPr>
          <w:b w:val="0"/>
          <w:color w:val="2C2C2A"/>
          <w:sz w:val="22"/>
        </w:rPr>
        <w:t>resolve a identidade no SO, grava a trilha em banco sob controle da empresa, regenera o painel.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Motor de IA: </w:t>
      </w:r>
      <w:r>
        <w:rPr>
          <w:b w:val="0"/>
          <w:color w:val="2C2C2A"/>
          <w:sz w:val="22"/>
        </w:rPr>
        <w:t>IA clássica (detectores + fingerprint + regras R01–R14 por precedência → risco + evidência) em cascata/aprendizado com uma LLM (linguagem natural).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Base unificada: </w:t>
      </w:r>
      <w:r>
        <w:rPr>
          <w:b w:val="0"/>
          <w:color w:val="2C2C2A"/>
          <w:sz w:val="22"/>
        </w:rPr>
        <w:t>Excel = legado; capturas ao vivo = presente; mesma tabela, mesmo motor, distinguidos pela origem.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Painel: </w:t>
      </w:r>
      <w:r>
        <w:rPr>
          <w:b w:val="0"/>
          <w:color w:val="2C2C2A"/>
          <w:sz w:val="22"/>
        </w:rPr>
        <w:t>Panorama, Rastrear (busca reversa), Alertas com evidência, Auditoria, Validação, Política, Inventário, Captura.</w:t>
      </w:r>
    </w:p>
    <w:p>
      <w:r>
        <w:rPr>
          <w:rFonts w:ascii="Georgia" w:hAnsi="Georgia"/>
          <w:b/>
          <w:color w:val="0F3B2C"/>
          <w:sz w:val="30"/>
        </w:rPr>
        <w:t>Papel da IA — o núcleo, e auditável</w:t>
      </w:r>
    </w:p>
    <w:p>
      <w:pPr>
        <w:spacing w:line="300" w:lineRule="auto"/>
      </w:pPr>
      <w:r>
        <w:rPr>
          <w:color w:val="2C2C2A"/>
          <w:sz w:val="22"/>
        </w:rPr>
        <w:t>A IA não é apoio: classificar a informação, decidir o risco e rastrear em linguagem natural são feitos por IA. O que a torna aceitável em Compliance é ser auditável — decide por regras explícitas com precedência e devolve a cadeia de evidência, não uma caixa-preta.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IA clássica (decide): </w:t>
      </w:r>
      <w:r>
        <w:rPr>
          <w:b w:val="0"/>
          <w:color w:val="2C2C2A"/>
          <w:sz w:val="22"/>
        </w:rPr>
        <w:t>detectores (CPF/CNPJ/Luhn/credencial), fingerprint (MinHash/SimHash) e regras R01–R14 por precedência. Determinística e explicável.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LLM (quando a regra falha): </w:t>
      </w:r>
      <w:r>
        <w:rPr>
          <w:b w:val="0"/>
          <w:color w:val="2C2C2A"/>
          <w:sz w:val="22"/>
        </w:rPr>
        <w:t>entende sinônimo e paráfrase no rastreio e na classificação; o que resolve vira padrão de volta para a IA clássica, reduzindo o custo de LLM.</w:t>
      </w:r>
    </w:p>
    <w:p>
      <w:pPr>
        <w:spacing w:line="300" w:lineRule="auto"/>
      </w:pPr>
      <w:r>
        <w:rPr>
          <w:color w:val="2C2C2A"/>
          <w:sz w:val="22"/>
        </w:rPr>
        <w:t>Por que usar IA: volume e fluxo contínuo (inviável manual); linguagem natural no rastreio e na classificação; consistência auditável na aplicação da política.</w:t>
      </w:r>
    </w:p>
    <w:p>
      <w:r>
        <w:rPr>
          <w:rFonts w:ascii="Georgia" w:hAnsi="Georgia"/>
          <w:b/>
          <w:color w:val="0F3B2C"/>
          <w:sz w:val="30"/>
        </w:rPr>
        <w:t>Requisitos atendidos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3B2C"/>
                <w:sz w:val="20"/>
              </w:rPr>
              <w:t>Requisito do desafio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0F3B2C"/>
                <w:sz w:val="20"/>
              </w:rPr>
              <w:t>Onde a solução entrega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Registrar quais ferramentas de IA são usadas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Inventário + Ferramentas_IA + captura ao vivo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Identificar quais informações são compartilhadas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Rastrear (busca reversa) + fingerprint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Classificar por sensibilidade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Detectores + tipos de informação + Política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Usuário, área, ferramenta, data e finalidade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Esquema de eventos; identidade no SO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Histórico que permita rastrear o fluxo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Linhagem + trilha em banco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Situações de risco e alertas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Motor R01–R14 + Alertas com evidência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Filtros (área, usuário, ferramenta, tipo, risco, período)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Filtros compartilhados no painel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Indicadores de acompanhamento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Auditoria — recalculados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Apoiar auditorias com evidência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Cadeia de regras por evento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 empresa define classificações e regras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Lidas da planilha; o código não reescreve</w:t>
            </w:r>
          </w:p>
        </w:tc>
      </w:tr>
    </w:tbl>
    <w:p>
      <w:r>
        <w:rPr>
          <w:rFonts w:ascii="Georgia" w:hAnsi="Georgia"/>
          <w:b/>
          <w:color w:val="0F3B2C"/>
          <w:sz w:val="30"/>
        </w:rPr>
        <w:t>Linha de base, métrica e meta</w:t>
      </w:r>
    </w:p>
    <w:p>
      <w:pPr>
        <w:spacing w:line="300" w:lineRule="auto"/>
      </w:pPr>
      <w:r>
        <w:rPr>
          <w:color w:val="2C2C2A"/>
          <w:sz w:val="22"/>
        </w:rPr>
        <w:t>Resultado atual: a governança se apoia em indicadores declarados que não batem com a base — 7 dos 10 divergem; eventos críticos subnotificados de 6,8% para 16,6% reais (~2,4×); SLA de 24h declarado em 72% mas não apurável; 6 das 14 regras nunca disparam. Rastrear uma informação, hoje, é manual.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color w:val="0F3B2C"/>
                <w:sz w:val="20"/>
              </w:rPr>
              <w:t>Métrica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0F3B2C"/>
                <w:sz w:val="20"/>
              </w:rPr>
              <w:t>Base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0F3B2C"/>
                <w:sz w:val="20"/>
              </w:rPr>
              <w:t>Meta (Sprint)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Fidelidade da governança (declarado × real)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7/10 divergem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0F3B2C"/>
                <w:sz w:val="20"/>
              </w:rPr>
              <w:t>0/10 divergem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Reprodução do gabarito oficial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0F3B2C"/>
                <w:sz w:val="20"/>
              </w:rPr>
              <w:t>15/15 (atingido)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Concordância de nível de risco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0F3B2C"/>
                <w:sz w:val="20"/>
              </w:rPr>
              <w:t>≥ 98% (98,8%)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Alertas com cadeia de evidência íntegra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38 enganam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0F3B2C"/>
                <w:sz w:val="20"/>
              </w:rPr>
              <w:t>100% auditáveis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Tempo para rastrear uma informação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manual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0F3B2C"/>
                <w:sz w:val="20"/>
              </w:rPr>
              <w:t>&lt; 5 s</w:t>
            </w:r>
          </w:p>
        </w:tc>
      </w:tr>
    </w:tbl>
    <w:p>
      <w:pPr>
        <w:spacing w:line="300" w:lineRule="auto"/>
      </w:pPr>
      <w:r>
        <w:rPr>
          <w:color w:val="16211C"/>
          <w:sz w:val="22"/>
        </w:rPr>
        <w:t>Métrica primária do Sprint: fidelidade da governança — fechar as sete divergências entre o declarado e o apurado.</w:t>
      </w:r>
    </w:p>
    <w:p>
      <w:r>
        <w:rPr>
          <w:rFonts w:ascii="Georgia" w:hAnsi="Georgia"/>
          <w:b/>
          <w:color w:val="0F3B2C"/>
          <w:sz w:val="30"/>
        </w:rPr>
        <w:t>Dados disponíveis e qualidade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Legado: </w:t>
      </w:r>
      <w:r>
        <w:rPr>
          <w:b w:val="0"/>
          <w:color w:val="2C2C2A"/>
          <w:sz w:val="22"/>
        </w:rPr>
        <w:t>base oficial — 650 eventos, 160 alertas, 8 ferramentas, 20 tipos, 72 usuários, 14 regras, 12 abas; classificação pronta (Classificador/DLP); fictícios.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Presente: </w:t>
      </w:r>
      <w:r>
        <w:rPr>
          <w:b w:val="0"/>
          <w:color w:val="2C2C2A"/>
          <w:sz w:val="22"/>
        </w:rPr>
        <w:t>capturas ao vivo (extensão, agente e, opcional, proxy), com identidade resolvida no SO e origem marcada.</w:t>
      </w:r>
    </w:p>
    <w:p>
      <w:pPr>
        <w:spacing w:line="300" w:lineRule="auto"/>
      </w:pPr>
      <w:r>
        <w:rPr>
          <w:color w:val="2C2C2A"/>
          <w:sz w:val="22"/>
        </w:rPr>
        <w:t>Qualidade: o dado existe, mas a solução o audita — e é medindo a qualidade da rotulagem que encontra os seis achados (rótulos que enganam, sem data de tratamento, regra genérica no lugar da específica). Medir a qualidade é um entregável do projeto.</w:t>
      </w:r>
    </w:p>
    <w:p>
      <w:r>
        <w:rPr>
          <w:rFonts w:ascii="Georgia" w:hAnsi="Georgia"/>
          <w:b/>
          <w:color w:val="0F3B2C"/>
          <w:sz w:val="30"/>
        </w:rPr>
        <w:t>As 6 perguntas da Semana 2, respondidas</w:t>
      </w:r>
    </w:p>
    <w:p>
      <w:r>
        <w:rPr>
          <w:rFonts w:ascii="Georgia" w:hAnsi="Georgia"/>
          <w:b/>
          <w:color w:val="0F3B2C"/>
          <w:sz w:val="25"/>
        </w:rPr>
        <w:t>01. Como a solução atende aos requisitos?</w:t>
      </w:r>
    </w:p>
    <w:p>
      <w:pPr>
        <w:spacing w:line="300" w:lineRule="auto"/>
      </w:pPr>
      <w:r>
        <w:rPr>
          <w:color w:val="2C2C2A"/>
          <w:sz w:val="22"/>
        </w:rPr>
        <w:t>Reenquadra “registrar uso” para “rastrear informação”. Cada requisito do desafio tem lugar concreto: inventário, busca reversa, detectores, esquema completo, linhagem, motor R01–R14 com alertas e evidência, filtros e indicadores recalculados. As regras são as da empresa, lidas da planilha.</w:t>
      </w:r>
    </w:p>
    <w:p>
      <w:r>
        <w:rPr>
          <w:rFonts w:ascii="Georgia" w:hAnsi="Georgia"/>
          <w:b/>
          <w:color w:val="0F3B2C"/>
          <w:sz w:val="25"/>
        </w:rPr>
        <w:t>02. Qual valor ela entrega?</w:t>
      </w:r>
    </w:p>
    <w:p>
      <w:pPr>
        <w:spacing w:line="300" w:lineRule="auto"/>
      </w:pPr>
      <w:r>
        <w:rPr>
          <w:color w:val="2C2C2A"/>
          <w:sz w:val="22"/>
        </w:rPr>
        <w:t>Confiança na governança (indicadores apurados com evidência, no lugar de números que erram 2,4×), linhagem da informação (a pergunta norteadora do desafio) e auditabilidade (cada alerta com o porquê e a ação). Transforma “achamos que estamos seguros” em “provamos onde não estamos”.</w:t>
      </w:r>
    </w:p>
    <w:p>
      <w:r>
        <w:rPr>
          <w:rFonts w:ascii="Georgia" w:hAnsi="Georgia"/>
          <w:b/>
          <w:color w:val="0F3B2C"/>
          <w:sz w:val="25"/>
        </w:rPr>
        <w:t>03. Qual tarefa a IA executa e por que usá-la?</w:t>
      </w:r>
    </w:p>
    <w:p>
      <w:pPr>
        <w:spacing w:line="300" w:lineRule="auto"/>
      </w:pPr>
      <w:r>
        <w:rPr>
          <w:color w:val="2C2C2A"/>
          <w:sz w:val="22"/>
        </w:rPr>
        <w:t>Classificar (detectores+fingerprint), decidir o risco (regras por precedência, com evidência) e rastrear em linguagem natural (LLM em cascata com aprendizado). Usa-se IA pelo volume/fluxo contínuo, pela linguagem natural do rastreio e da classificação, e pela consistência auditável exigida.</w:t>
      </w:r>
    </w:p>
    <w:p>
      <w:r>
        <w:rPr>
          <w:rFonts w:ascii="Georgia" w:hAnsi="Georgia"/>
          <w:b/>
          <w:color w:val="0F3B2C"/>
          <w:sz w:val="25"/>
        </w:rPr>
        <w:t>04. Qual é o resultado atual?</w:t>
      </w:r>
    </w:p>
    <w:p>
      <w:pPr>
        <w:spacing w:line="300" w:lineRule="auto"/>
      </w:pPr>
      <w:r>
        <w:rPr>
          <w:color w:val="2C2C2A"/>
          <w:sz w:val="22"/>
        </w:rPr>
        <w:t>Um painel cujos números não se sustentam: 7/10 indicadores declarados divergem, críticos subnotificados (6,8%→16,6%), SLA de 24h não apurável, 6/14 regras nunca disparam. Rastrear uma informação hoje é trabalho manual. É a linha de base a superar.</w:t>
      </w:r>
    </w:p>
    <w:p>
      <w:r>
        <w:rPr>
          <w:rFonts w:ascii="Georgia" w:hAnsi="Georgia"/>
          <w:b/>
          <w:color w:val="0F3B2C"/>
          <w:sz w:val="25"/>
        </w:rPr>
        <w:t>05. Qual métrica e qual meta serão testadas?</w:t>
      </w:r>
    </w:p>
    <w:p>
      <w:pPr>
        <w:spacing w:line="300" w:lineRule="auto"/>
      </w:pPr>
      <w:r>
        <w:rPr>
          <w:color w:val="2C2C2A"/>
          <w:sz w:val="22"/>
        </w:rPr>
        <w:t>Primária: fidelidade da governança — zerar as 7 divergências. Corretude do motor: gabarito 15/15 (atingido) e concordância de nível ≥98% (98,8%). Valor de auditoria: 100% dos alertas com evidência íntegra e rastreio de informação &lt; 5 s. Tudo verificável contra a base.</w:t>
      </w:r>
    </w:p>
    <w:p>
      <w:r>
        <w:rPr>
          <w:rFonts w:ascii="Georgia" w:hAnsi="Georgia"/>
          <w:b/>
          <w:color w:val="0F3B2C"/>
          <w:sz w:val="25"/>
        </w:rPr>
        <w:t>06. Quais dados estão disponíveis?</w:t>
      </w:r>
    </w:p>
    <w:p>
      <w:pPr>
        <w:spacing w:line="300" w:lineRule="auto"/>
      </w:pPr>
      <w:r>
        <w:rPr>
          <w:color w:val="2C2C2A"/>
          <w:sz w:val="22"/>
        </w:rPr>
        <w:t>Legado (base oficial: 650 eventos e as 12 abas, classificação pronta, fictícios) e presente (capturas ao vivo, identidade no SO). A solução audita a qualidade da rotulagem — e é medindo essa qualidade que encontra os seis achados.</w:t>
      </w:r>
    </w:p>
    <w:p>
      <w:r>
        <w:rPr>
          <w:rFonts w:ascii="Georgia" w:hAnsi="Georgia"/>
          <w:b/>
          <w:color w:val="0F3B2C"/>
          <w:sz w:val="30"/>
        </w:rPr>
        <w:t>Critério da Semana 2 — coerência da solução e proposta de valor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01 · Atendimento aos requisitos: </w:t>
      </w:r>
      <w:r>
        <w:rPr>
          <w:b w:val="0"/>
          <w:color w:val="2C2C2A"/>
          <w:sz w:val="22"/>
        </w:rPr>
        <w:t>cada requisito mapeado a uma vista/mecanismo; regras e classificações são as da empresa.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02 · Papel da IA: </w:t>
      </w:r>
      <w:r>
        <w:rPr>
          <w:b w:val="0"/>
          <w:color w:val="2C2C2A"/>
          <w:sz w:val="22"/>
        </w:rPr>
        <w:t>IA é o núcleo (classifica, decide, rastreia), auditável por regras e evidência; LLM em cascata com aprendizado.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03 · Linha de base, métrica e meta: </w:t>
      </w:r>
      <w:r>
        <w:rPr>
          <w:b w:val="0"/>
          <w:color w:val="2C2C2A"/>
          <w:sz w:val="22"/>
        </w:rPr>
        <w:t>base honesta (7/10 divergem; críticos 2,4×); métrica de fidelidade com meta de zerar divergências.</w:t>
      </w:r>
    </w:p>
    <w:p>
      <w:pPr>
        <w:pStyle w:val="ListBullet"/>
        <w:spacing w:line="288" w:lineRule="auto"/>
      </w:pPr>
      <w:r>
        <w:rPr>
          <w:b/>
          <w:color w:val="2C2C2A"/>
          <w:sz w:val="22"/>
        </w:rPr>
        <w:t xml:space="preserve">04 · Dados disponíveis e qualidade: </w:t>
      </w:r>
      <w:r>
        <w:rPr>
          <w:b w:val="0"/>
          <w:color w:val="2C2C2A"/>
          <w:sz w:val="22"/>
        </w:rPr>
        <w:t>legado + presente, com a qualidade da rotulagem medida pela própria solução.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