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b/>
          <w:color w:val="1C6B4D"/>
          <w:sz w:val="18"/>
        </w:rPr>
        <w:t>ITA CHALLENGE SPRINT · SEMANA 5 · DOSSIÊ FINAL E PROPOSTA DE VALOR</w:t>
      </w:r>
    </w:p>
    <w:p>
      <w:r>
        <w:rPr>
          <w:rFonts w:ascii="Georgia" w:hAnsi="Georgia"/>
          <w:b/>
          <w:color w:val="0F3B2C"/>
          <w:sz w:val="38"/>
        </w:rPr>
        <w:t>GerencIA — governança de IA que a empresa pode provar</w:t>
      </w:r>
    </w:p>
    <w:p>
      <w:pPr>
        <w:spacing w:line="300" w:lineRule="auto"/>
      </w:pPr>
      <w:r>
        <w:rPr>
          <w:color w:val="5A6A62"/>
          <w:sz w:val="22"/>
        </w:rPr>
        <w:t>Proposta de valor: a GerencIA transforma “achamos que estamos seguros no uso de IA” em “conseguimos provar onde não estamos” — rastreando a informação (não o clique), reaplicando a política com IA auditável e mantendo o conteúdo dentro do perímetro. Base oficial: 650 eventos, 14 regras, 15/15 do gabarito, 98,8% de concordância (dados fictícios).</w:t>
      </w:r>
    </w:p>
    <w:p>
      <w:r>
        <w:rPr>
          <w:rFonts w:ascii="Georgia" w:hAnsi="Georgia"/>
          <w:b/>
          <w:color w:val="0F3B2C"/>
          <w:sz w:val="28"/>
        </w:rPr>
        <w:t>01 · Problema e recorte</w:t>
      </w:r>
    </w:p>
    <w:p>
      <w:pPr>
        <w:spacing w:line="300" w:lineRule="auto"/>
      </w:pPr>
      <w:r>
        <w:rPr>
          <w:color w:val="2C2C2A"/>
          <w:sz w:val="22"/>
        </w:rPr>
        <w:t>A empresa já registra o uso de IA, mas não confia no registro: a classificação é confiada, não verificada, e não há linhagem ligando uma informação às ferramentas e pessoas por onde passou. Recorte do Sprint: rastrear a informação, reaplicar a política com cadeia de evidência e auditar a rotulagem, sobre a base oficial + captura ao vivo. Fora do escopo: bloqueio ativo, substituir o DLP, detecção de paráfrase.</w:t>
      </w:r>
    </w:p>
    <w:p>
      <w:r>
        <w:rPr>
          <w:rFonts w:ascii="Georgia" w:hAnsi="Georgia"/>
          <w:b/>
          <w:color w:val="0F3B2C"/>
          <w:sz w:val="28"/>
        </w:rPr>
        <w:t>02 · Evidências</w:t>
      </w:r>
    </w:p>
    <w:p>
      <w:pPr>
        <w:spacing w:line="300" w:lineRule="auto"/>
      </w:pPr>
      <w:r>
        <w:rPr>
          <w:color w:val="2C2C2A"/>
          <w:sz w:val="22"/>
        </w:rPr>
        <w:t>O problema está na própria base: 7 de 10 indicadores declarados divergem do apurado; eventos críticos subnotificados de 6,8% para 16,6% reais (~2,4×); seis achados verificáveis (A-01…A-06) — entre eles 38 eventos cuja regra citada engana o auditor, 18 em que a obrigação de LGPD some do registro, 6 das 14 regras que nunca disparam, e 47 alertas “tratados” sem data (SLA não apurável).</w:t>
      </w:r>
    </w:p>
    <w:p>
      <w:r>
        <w:rPr>
          <w:rFonts w:ascii="Georgia" w:hAnsi="Georgia"/>
          <w:b/>
          <w:color w:val="0F3B2C"/>
          <w:sz w:val="28"/>
        </w:rPr>
        <w:t>03 · Solução e protótipo</w:t>
      </w:r>
    </w:p>
    <w:p>
      <w:pPr>
        <w:spacing w:line="300" w:lineRule="auto"/>
      </w:pPr>
      <w:r>
        <w:rPr>
          <w:color w:val="2C2C2A"/>
          <w:sz w:val="22"/>
        </w:rPr>
        <w:t>O protótipo V1 não é mockup: lê a planilha, aplica as 14 regras, audita, monta o painel e recebe capturas ao vivo, com um comando. Reproduz 15/15 do gabarito e concorda com o nível de risco em 98,8%; os dois motores (Python e navegador) batem em tudo. Funções demonstráveis: Rastrear (busca reversa), motor R01–R14 com evidência, Auditoria, Validação, Alertas e captura ao vivo.</w:t>
      </w:r>
    </w:p>
    <w:p>
      <w:r>
        <w:rPr>
          <w:rFonts w:ascii="Georgia" w:hAnsi="Georgia"/>
          <w:b/>
          <w:color w:val="0F3B2C"/>
          <w:sz w:val="28"/>
        </w:rPr>
        <w:t>04 · Papel da IA — três níveis, em cascata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Nível 0 (borda): </w:t>
      </w:r>
      <w:r>
        <w:rPr>
          <w:b w:val="0"/>
          <w:color w:val="2C2C2A"/>
          <w:sz w:val="22"/>
        </w:rPr>
        <w:t>detectores determinísticos (CPF/CNPJ por dígito, cartão por Luhn, credenciais) + fingerprint. Instantâneo e explicável.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Nível 1 (on-premise): </w:t>
      </w:r>
      <w:r>
        <w:rPr>
          <w:b w:val="0"/>
          <w:color w:val="2C2C2A"/>
          <w:sz w:val="22"/>
        </w:rPr>
        <w:t>Qwen3 via llamafile, no servidor, classifica tipo + sensibilidade do texto livre em ~0,3s. O conteúdo não sai da máquina.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Nível 2 (nuvem): </w:t>
      </w:r>
      <w:r>
        <w:rPr>
          <w:b w:val="0"/>
          <w:color w:val="2C2C2A"/>
          <w:sz w:val="22"/>
        </w:rPr>
        <w:t>Claude (claude-opus-5) só o resíduo de baixa confiança; devolve aprendizado aos níveis locais.</w:t>
      </w:r>
    </w:p>
    <w:p>
      <w:pPr>
        <w:spacing w:line="300" w:lineRule="auto"/>
      </w:pPr>
      <w:r>
        <w:rPr>
          <w:color w:val="2C2C2A"/>
          <w:sz w:val="22"/>
        </w:rPr>
        <w:t>A IA é o núcleo (classifica, decide, rastreia) e é auditável — decide por regras explícitas com evidência; cada captura grava como foi classificada (classificado_por).</w:t>
      </w:r>
    </w:p>
    <w:p>
      <w:r>
        <w:rPr>
          <w:rFonts w:ascii="Georgia" w:hAnsi="Georgia"/>
          <w:b/>
          <w:color w:val="0F3B2C"/>
          <w:sz w:val="28"/>
        </w:rPr>
        <w:t>05 · Arquitetura e dados</w:t>
      </w:r>
    </w:p>
    <w:p>
      <w:pPr>
        <w:spacing w:line="300" w:lineRule="auto"/>
      </w:pPr>
      <w:r>
        <w:rPr>
          <w:color w:val="2C2C2A"/>
          <w:sz w:val="22"/>
        </w:rPr>
        <w:t>Fluxo: Borda (extensão, agente, proxy) → Coletor (resolve identidade no SO) → Núcleo (motor + Qwen3 em cascata com a nuvem) → Base unificada → Painel. Implantação on-premise: núcleo em VLAN sem saída; gateway de notificação na DMZ como única peça com saída. Dados: legado (650 eventos e as 12 abas; fictícios) + presente (capturas ao vivo, identidade no SO, origem marcada). A solução mede a qualidade da rotulagem — é assim que encontra os seis achados.</w:t>
      </w:r>
    </w:p>
    <w:p>
      <w:r>
        <w:rPr>
          <w:rFonts w:ascii="Georgia" w:hAnsi="Georgia"/>
          <w:b/>
          <w:color w:val="0F3B2C"/>
          <w:sz w:val="28"/>
        </w:rPr>
        <w:t>06 · Resultados dos testes</w:t>
      </w:r>
    </w:p>
    <w:p>
      <w:pPr>
        <w:spacing w:line="300" w:lineRule="auto"/>
      </w:pPr>
      <w:r>
        <w:rPr>
          <w:color w:val="2C2C2A"/>
          <w:sz w:val="22"/>
        </w:rPr>
        <w:t>Além do gabarito (15/15) e da paridade dos motores, a solução foi exercitada numa estação Windows real (Parallels) com o Mac como servidor: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color w:val="0F3B2C"/>
                <w:sz w:val="20"/>
              </w:rPr>
              <w:t>Teste</w:t>
            </w:r>
          </w:p>
        </w:tc>
        <w:tc>
          <w:tcPr>
            <w:tcW w:type="dxa" w:w="4680"/>
          </w:tcPr>
          <w:p>
            <w:r/>
            <w:r>
              <w:rPr>
                <w:b/>
                <w:color w:val="0F3B2C"/>
                <w:sz w:val="20"/>
              </w:rPr>
              <w:t>Resultado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Agente instalado como serviço do Windows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Running / Automatic, sobe no boot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Extensão capturando conteúdo (prompt + resposta)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OK, com busca única (par_id)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Identidade do usuário logado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resolvida pelo host nativo (multiusuário), não falsificável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Classificação Nível 0 (CPF em prompt real)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Dado pessoal (CPF) / Crítica, na hora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Classificação Nível 1 (Qwen3 local)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tipo + sensibilidade em ~0,3s, on-premise</w:t>
            </w:r>
          </w:p>
        </w:tc>
      </w:tr>
    </w:tbl>
    <w:p>
      <w:pPr>
        <w:spacing w:line="300" w:lineRule="auto"/>
      </w:pPr>
      <w:r>
        <w:rPr>
          <w:color w:val="2C2C2A"/>
          <w:sz w:val="22"/>
        </w:rPr>
        <w:t>Os testes também expuseram e corrigiram atritos reais de campo: falso-positivo de CDN (resolvido com o cache de DNS como autoridade), flood do agente (dedup por uso, 8h), identidade por ID fixo da extensão, e as frições de implantação no Windows (Python, execution policy, ACL pt-BR).</w:t>
      </w:r>
    </w:p>
    <w:p>
      <w:r>
        <w:rPr>
          <w:rFonts w:ascii="Georgia" w:hAnsi="Georgia"/>
          <w:b/>
          <w:color w:val="0F3B2C"/>
          <w:sz w:val="28"/>
        </w:rPr>
        <w:t>07 · Impacto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Confiança: </w:t>
      </w:r>
      <w:r>
        <w:rPr>
          <w:b w:val="0"/>
          <w:color w:val="2C2C2A"/>
          <w:sz w:val="22"/>
        </w:rPr>
        <w:t>governança que fecha auditoria — indicadores apurados com evidência; meta de zerar as 7 divergências.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LGPD: </w:t>
      </w:r>
      <w:r>
        <w:rPr>
          <w:b w:val="0"/>
          <w:color w:val="2C2C2A"/>
          <w:sz w:val="22"/>
        </w:rPr>
        <w:t>detecta dado pessoal em IA pública e marca a obrigação de privacidade (o A-02 mostra onde some).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Privacidade: </w:t>
      </w:r>
      <w:r>
        <w:rPr>
          <w:b w:val="0"/>
          <w:color w:val="2C2C2A"/>
          <w:sz w:val="22"/>
        </w:rPr>
        <w:t>Níveis 0 e 1 classificam on-premise; a nuvem só vê o resíduo ambíguo.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Linhagem: </w:t>
      </w:r>
      <w:r>
        <w:rPr>
          <w:b w:val="0"/>
          <w:color w:val="2C2C2A"/>
          <w:sz w:val="22"/>
        </w:rPr>
        <w:t>busca reversa da informação — a pergunta norteadora do desafio.</w:t>
      </w:r>
    </w:p>
    <w:p>
      <w:r>
        <w:rPr>
          <w:rFonts w:ascii="Georgia" w:hAnsi="Georgia"/>
          <w:b/>
          <w:color w:val="0F3B2C"/>
          <w:sz w:val="28"/>
        </w:rPr>
        <w:t>08 · Viabilidade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Sem dependência de nuvem no caminho comum: </w:t>
      </w:r>
      <w:r>
        <w:rPr>
          <w:b w:val="0"/>
          <w:color w:val="2C2C2A"/>
          <w:sz w:val="22"/>
        </w:rPr>
        <w:t>núcleo e Qwen3 (Nível 1) rodam no servidor; Python puro no núcleo.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Implantação em massa: </w:t>
      </w:r>
      <w:r>
        <w:rPr>
          <w:b w:val="0"/>
          <w:color w:val="2C2C2A"/>
          <w:sz w:val="22"/>
        </w:rPr>
        <w:t>instalador do agente como serviço + GPO/Intune; extensão com ID fixo e host de identidade por usuário.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Custo baixo: </w:t>
      </w:r>
      <w:r>
        <w:rPr>
          <w:b w:val="0"/>
          <w:color w:val="2C2C2A"/>
          <w:sz w:val="22"/>
        </w:rPr>
        <w:t>a maioria resolve nos Níveis 0 e 1; o LLM na nuvem é exceção.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Testado no ambiente-alvo: </w:t>
      </w:r>
      <w:r>
        <w:rPr>
          <w:b w:val="0"/>
          <w:color w:val="2C2C2A"/>
          <w:sz w:val="22"/>
        </w:rPr>
        <w:t>estação Windows real, não só laboratório.</w:t>
      </w:r>
    </w:p>
    <w:p>
      <w:r>
        <w:rPr>
          <w:rFonts w:ascii="Georgia" w:hAnsi="Georgia"/>
          <w:b/>
          <w:color w:val="0F3B2C"/>
          <w:sz w:val="28"/>
        </w:rPr>
        <w:t>09 · Adoção, riscos e próximos passos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Adoção: </w:t>
      </w:r>
      <w:r>
        <w:rPr>
          <w:b w:val="0"/>
          <w:color w:val="2C2C2A"/>
          <w:sz w:val="22"/>
        </w:rPr>
        <w:t>piloto por uma área (ex.: Financeiro), com aviso de monitoramento; expandir por GPO/Intune após validar.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Riscos: </w:t>
      </w:r>
      <w:r>
        <w:rPr>
          <w:b w:val="0"/>
          <w:color w:val="2C2C2A"/>
          <w:sz w:val="22"/>
        </w:rPr>
        <w:t>a senha barra usuário/admin casual, não o admin determinado (blindagem total exige MDM/EDR); o MITM é opt-in; o modelo local é pequeno (há limiar de confiança + Nível 2).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Próximos passos (fase 2): </w:t>
      </w:r>
      <w:r>
        <w:rPr>
          <w:b w:val="0"/>
          <w:color w:val="2C2C2A"/>
          <w:sz w:val="22"/>
        </w:rPr>
        <w:t>assinar a extensão, fingerprint em LSH para escala, ligar o Nível 2, fechar a paridade de hash e o fluxo de LGPD.</w:t>
      </w:r>
    </w:p>
    <w:p>
      <w:r>
        <w:rPr>
          <w:rFonts w:ascii="Georgia" w:hAnsi="Georgia"/>
          <w:b/>
          <w:color w:val="0F3B2C"/>
          <w:sz w:val="28"/>
        </w:rPr>
        <w:t>Critério da Semana 5 — viabilidade e potencial de negócio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01 · Viabilidade de implementação: </w:t>
      </w:r>
      <w:r>
        <w:rPr>
          <w:b w:val="0"/>
          <w:color w:val="2C2C2A"/>
          <w:sz w:val="22"/>
        </w:rPr>
        <w:t>on-premise, Python puro no núcleo, deploy por GPO/Intune, testado em estação Windows real.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02 · Impacto e business case: </w:t>
      </w:r>
      <w:r>
        <w:rPr>
          <w:b w:val="0"/>
          <w:color w:val="2C2C2A"/>
          <w:sz w:val="22"/>
        </w:rPr>
        <w:t>governança auditável (zerar 7 divergências), LGPD no registro, privacidade por desenho, linhagem.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03 · Adoção e próximos passos: </w:t>
      </w:r>
      <w:r>
        <w:rPr>
          <w:b w:val="0"/>
          <w:color w:val="2C2C2A"/>
          <w:sz w:val="22"/>
        </w:rPr>
        <w:t>piloto por área → onda via GPO/Intune; riscos nomeados; fase 2 definida.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04 · Material final vende a ideia: </w:t>
      </w:r>
      <w:r>
        <w:rPr>
          <w:b w:val="0"/>
          <w:color w:val="2C2C2A"/>
          <w:sz w:val="22"/>
        </w:rPr>
        <w:t>liga problema → evidência → protótipo que roda → resultados reais → viabilidade, com números verificáveis.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21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