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rPr>
          <w:rFonts w:ascii="Verdana" w:eastAsia="Verdana" w:hAnsi="Verdana" w:cs="Verdana"/>
          <w:sz w:val="72"/>
        </w:rPr>
      </w:pPr>
    </w:p>
    <w:p>
      <w:pPr>
        <w:rPr>
          <w:rFonts w:ascii="Verdana" w:eastAsia="Verdana" w:hAnsi="Verdana" w:cs="Verdana"/>
          <w:sz w:val="72"/>
        </w:rPr>
      </w:pPr>
    </w:p>
    <w:p>
      <w:pPr>
        <w:rPr>
          <w:rFonts w:ascii="Verdana" w:eastAsia="Verdana" w:hAnsi="Verdana" w:cs="Verdana"/>
          <w:sz w:val="72"/>
        </w:rPr>
      </w:pPr>
    </w:p>
    <w:p>
      <w:pPr>
        <w:rPr>
          <w:rFonts w:ascii="Verdana" w:eastAsia="Verdana" w:hAnsi="Verdana" w:cs="Verdana"/>
          <w:sz w:val="72"/>
        </w:rPr>
      </w:pPr>
    </w:p>
    <w:p>
      <w:pPr>
        <w:rPr>
          <w:rFonts w:ascii="Verdana" w:eastAsia="Verdana" w:hAnsi="Verdana" w:cs="Verdana"/>
          <w:sz w:val="72"/>
        </w:rPr>
      </w:pPr>
      <w:r>
        <w:rPr>
          <w:rFonts w:ascii="Verdana" w:eastAsia="Verdana" w:hAnsi="Verdana" w:cs="Verdana"/>
          <w:sz w:val="72"/>
        </w:rPr>
        <w:t xml:space="preserve">Process flow </w:t>
      </w:r>
    </w:p>
    <w:p>
      <w:pPr>
        <w:rPr>
          <w:rFonts w:ascii="Verdana" w:eastAsia="Verdana" w:hAnsi="Verdana" w:cs="Verdana"/>
          <w:sz w:val="72"/>
        </w:rPr>
      </w:pPr>
      <w:r>
        <w:rPr>
          <w:rFonts w:ascii="Verdana" w:eastAsia="Verdana" w:hAnsi="Verdana" w:cs="Verdana"/>
          <w:sz w:val="72"/>
        </w:rPr>
        <w:t xml:space="preserve">for </w:t>
      </w:r>
    </w:p>
    <w:p>
      <w:pPr>
        <w:rPr>
          <w:rFonts w:ascii="Verdana" w:eastAsia="Verdana" w:hAnsi="Verdana" w:cs="Verdana"/>
          <w:sz w:val="72"/>
        </w:rPr>
      </w:pPr>
      <w:r>
        <w:rPr>
          <w:rFonts w:ascii="Verdana" w:eastAsia="Verdana" w:hAnsi="Verdana" w:cs="Verdana"/>
          <w:sz w:val="72"/>
        </w:rPr>
        <w:t>Tokenized KYC</w:t>
      </w:r>
    </w:p>
    <w:p>
      <w:pPr>
        <w:rPr>
          <w:rFonts w:ascii="Verdana" w:eastAsia="Verdana" w:hAnsi="Verdana" w:cs="Verdana"/>
          <w:sz w:val="22"/>
        </w:rPr>
      </w:pPr>
      <w:r>
        <w:br w:type="page"/>
      </w:r>
    </w:p>
    <w:p/>
    <w:p>
      <w:pPr>
        <w:spacing w:line="288" w:after="240" w:before="240"/>
        <w:rPr>
          <w:b w:val="false"/>
          <w:color w:themeColor="text1" w:val="000000"/>
        </w:rPr>
      </w:pPr>
      <w:r>
        <w:fldChar w:fldCharType="begin"/>
      </w:r>
      <w:r>
        <w:instrText>TOC \o "1-9" \h \z \u</w:instrText>
      </w:r>
      <w:r>
        <w:fldChar w:fldCharType="separate"/>
      </w:r>
      <w:r>
        <w:rPr>
          <w:b w:val="false"/>
          <w:color w:themeColor="text1" w:val="000000"/>
          <w:sz w:val="28"/>
        </w:rPr>
        <w:t>Table of Contents</w:t>
      </w:r>
    </w:p>
    <w:p>
      <w:pPr>
        <w:tabs>
          <w:tab w:pos="8640" w:val="right" w:leader="dot"/>
        </w:tabs>
        <w:ind w:left="0"/>
        <w:rPr>
          <w:b w:val="false"/>
          <w:color w:themeColor="text1" w:val="000000"/>
        </w:rPr>
      </w:pPr>
      <w:r>
        <w:rPr>
          <w:b w:val="false"/>
          <w:color w:themeColor="text1" w:val="000000"/>
          <w:sz w:val="24"/>
          <w:u w:val="single"/>
        </w:rPr>
        <w:fldChar w:fldCharType="begin"/>
        <w:instrText>HYPERLINK  \l "_Tocgz77218icncu"</w:instrText>
        <w:fldChar w:fldCharType="separate"/>
        <w:t/>
      </w:r>
      <w:r>
        <w:rPr>
          <w:b w:val="false"/>
          <w:color w:themeColor="text1" w:val="000000"/>
          <w:sz w:val="24"/>
          <w:u w:val="single"/>
        </w:rPr>
        <w:t xml:space="preserve">High level Process flow: </w:t>
      </w:r>
      <w:r>
        <w:rPr>
          <w:b w:val="false"/>
          <w:color w:themeColor="text1" w:val="000000"/>
        </w:rPr>
        <w:tab/>
      </w:r>
      <w:r>
        <w:fldChar w:fldCharType="begin"/>
        <w:instrText>REF \h _Tocgz77218icncu</w:instrText>
        <w:fldChar w:fldCharType="separate"/>
        <w:t>3</w:t>
        <w:fldChar w:fldCharType="end"/>
      </w:r>
      <w:r>
        <w:fldChar w:fldCharType="end"/>
      </w:r>
    </w:p>
    <w:p>
      <w:pPr>
        <w:tabs>
          <w:tab w:pos="8640" w:val="right" w:leader="dot"/>
        </w:tabs>
        <w:ind w:left="0"/>
        <w:rPr>
          <w:b w:val="false"/>
          <w:color w:themeColor="text1" w:val="000000"/>
        </w:rPr>
      </w:pPr>
      <w:r>
        <w:rPr>
          <w:b w:val="false"/>
          <w:color w:themeColor="text1" w:val="000000"/>
          <w:sz w:val="24"/>
          <w:u w:val="single"/>
        </w:rPr>
        <w:fldChar w:fldCharType="begin"/>
        <w:instrText>HYPERLINK  \l "_Tocka7xul6eejp5"</w:instrText>
        <w:fldChar w:fldCharType="separate"/>
        <w:t/>
      </w:r>
      <w:r>
        <w:rPr>
          <w:b w:val="false"/>
          <w:color w:themeColor="text1" w:val="000000"/>
          <w:sz w:val="24"/>
          <w:u w:val="single"/>
        </w:rPr>
        <w:t>Process flow for a mid sized nbfc:</w:t>
      </w:r>
      <w:r>
        <w:rPr>
          <w:b w:val="false"/>
          <w:color w:themeColor="text1" w:val="000000"/>
        </w:rPr>
        <w:tab/>
      </w:r>
      <w:r>
        <w:fldChar w:fldCharType="begin"/>
        <w:instrText>REF \h _Tocka7xul6eejp5</w:instrText>
        <w:fldChar w:fldCharType="separate"/>
        <w:t>4</w:t>
        <w:fldChar w:fldCharType="end"/>
      </w:r>
      <w:r>
        <w:fldChar w:fldCharType="end"/>
      </w:r>
    </w:p>
    <w:p>
      <w:pPr>
        <w:tabs>
          <w:tab w:pos="8640" w:val="right" w:leader="dot"/>
        </w:tabs>
        <w:ind w:left="0"/>
      </w:pPr>
      <w:r>
        <w:rPr>
          <w:b w:val="false"/>
          <w:color w:themeColor="text1" w:val="000000"/>
          <w:sz w:val="24"/>
          <w:u w:val="single"/>
        </w:rPr>
        <w:fldChar w:fldCharType="begin"/>
        <w:instrText>HYPERLINK  \l "_Tocmwyl1v9f8b7p"</w:instrText>
        <w:fldChar w:fldCharType="separate"/>
        <w:t/>
      </w:r>
      <w:r>
        <w:rPr>
          <w:b w:val="false"/>
          <w:color w:themeColor="text1" w:val="000000"/>
          <w:sz w:val="24"/>
          <w:u w:val="single"/>
        </w:rPr>
        <w:t>Process flow for mid sized nbfc: Addendum:</w:t>
      </w:r>
      <w:r>
        <w:rPr>
          <w:b w:val="false"/>
          <w:color w:themeColor="text1" w:val="000000"/>
        </w:rPr>
        <w:tab/>
      </w:r>
      <w:r>
        <w:fldChar w:fldCharType="begin"/>
        <w:instrText>REF \h _Tocmwyl1v9f8b7p</w:instrText>
        <w:fldChar w:fldCharType="separate"/>
        <w:t>5</w:t>
        <w:fldChar w:fldCharType="end"/>
      </w:r>
      <w:r>
        <w:fldChar w:fldCharType="end"/>
      </w:r>
    </w:p>
    <w:p>
      <w:pPr/>
    </w:p>
    <w:p/>
    <w:p>
      <w:pPr>
        <w:rPr>
          <w:rFonts w:ascii="Verdana" w:eastAsia="Verdana" w:hAnsi="Verdana" w:cs="Verdana"/>
          <w:sz w:val="22"/>
        </w:rPr>
      </w:pPr>
      <w:r>
        <w:fldChar w:fldCharType="end"/>
      </w:r>
    </w:p>
    <w:p>
      <w:pPr>
        <w:pStyle w:val="Heading1"/>
        <w:outlineLvl w:val="0"/>
      </w:pPr>
      <w:r>
        <w:br w:type="page"/>
      </w:r>
      <w:r/>
      <w:bookmarkStart w:id="0" w:name="_Tocgz77218icncu"/>
      <w:r>
        <w:rPr/>
        <w:t xml:space="preserve">High level Process flow: </w:t>
      </w:r>
      <w:bookmarkEnd w:id="0"/>
    </w:p>
    <w:p>
      <w:pPr>
        <w:rPr>
          <w:rFonts w:ascii="Verdana" w:eastAsia="Verdana" w:hAnsi="Verdana" w:cs="Verdana"/>
          <w:sz w:val="22"/>
        </w:rPr>
      </w:pPr>
      <w:r>
        <w:drawing>
          <wp:inline distT="0" distR="0" distB="0" distL="0">
            <wp:extent cx="5943600" cy="3098172"/>
            <wp:docPr id="1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outlineLvl w:val="0"/>
      </w:pPr>
      <w:r>
        <w:br w:type="page"/>
      </w:r>
      <w:r/>
      <w:bookmarkStart w:id="1" w:name="_Tocka7xul6eejp5"/>
      <w:r>
        <w:rPr/>
        <w:t>Process flow for a mid sized nbfc:</w:t>
      </w:r>
      <w:bookmarkEnd w:id="1"/>
    </w:p>
    <w:p>
      <w:pPr>
        <w:rPr>
          <w:rFonts w:ascii="Verdana" w:eastAsia="Verdana" w:hAnsi="Verdana" w:cs="Verdana"/>
          <w:sz w:val="22"/>
        </w:rPr>
      </w:pPr>
      <w:r>
        <w:drawing>
          <wp:inline distT="0" distR="0" distB="0" distL="0">
            <wp:extent cx="5943600" cy="3461972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Verdana" w:eastAsia="Verdana" w:hAnsi="Verdana" w:cs="Verdana"/>
          <w:sz w:val="22"/>
        </w:rPr>
      </w:pPr>
    </w:p>
    <w:p>
      <w:pPr>
        <w:pStyle w:val="Heading1"/>
        <w:outlineLvl w:val="0"/>
      </w:pPr>
      <w:r>
        <w:br w:type="page"/>
      </w:r>
      <w:r/>
      <w:bookmarkStart w:id="2" w:name="_Tocmwyl1v9f8b7p"/>
      <w:r>
        <w:rPr/>
        <w:t>Process flow for mid sized nbfc: Addendum:</w:t>
      </w:r>
      <w:bookmarkEnd w:id="2"/>
    </w:p>
    <w:p>
      <w:pPr>
        <w:rPr>
          <w:rFonts w:ascii="Verdana" w:eastAsia="Verdana" w:hAnsi="Verdana" w:cs="Verdana"/>
          <w:sz w:val="22"/>
        </w:rPr>
      </w:pPr>
      <w:r>
        <w:drawing>
          <wp:inline distT="0" distR="0" distB="0" distL="0">
            <wp:extent cx="5943600" cy="4651369"/>
            <wp:docPr id="3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Verdana" w:eastAsia="Verdana" w:hAnsi="Verdana" w:cs="Verdana"/>
          <w:sz w:val="22"/>
        </w:rPr>
      </w:pPr>
    </w:p>
    <w:p>
      <w:pPr>
        <w:rPr>
          <w:rFonts w:ascii="Verdana" w:eastAsia="Verdana" w:hAnsi="Verdana" w:cs="Verdana"/>
          <w:sz w:val="22"/>
        </w:rPr>
      </w:pPr>
      <w:r>
        <w:br w:type="page"/>
      </w:r>
    </w:p>
    <w:sectPr>
      <w:headerReference r:id="rId8" w:type="default"/>
      <w:footerReference r:id="rId9" w:type="default"/>
      <w:type w:val="nextPage"/>
      <w:pgSz w:orient="portrait" w:w="12240" w:h="15840"/>
      <w:pgMar w:right="1440" w:top="1440" w:header="720" w:gutter="0" w:bottom="1440" w:footer="720" w:left="1440"/>
      <w:cols w:equalWidth="1" w:space="720" w:num="1"/>
      <w:titlePg w:val="0"/>
    </w:sectPr>
  </w:body>
</w:document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p>
    <w:pPr>
      <w:pStyle w:val="Header"/>
      <w:pBdr/>
      <w:jc w:val="right"/>
    </w:pPr>
    <w:r>
      <w:drawing>
        <wp:inline distT="0" distR="0" distB="0" distL="0">
          <wp:extent cx="2486025" cy="276225"/>
          <wp:docPr id="4" name="Drawing 3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86025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evenAndOddHeaders w:val="0"/>
  <w:updateFields w:val="on"/>
  <w:compat>
    <w:compatSetting w:val="15" w:name="compatibilityMode" w:uri="http://schemas.microsoft.com/office/word"/>
  </w:compat>
  <w:themeFontLang w:val="en-GB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24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24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after="0" w:before="0"/>
      <w:ind w:left="720"/>
    </w:pPr>
    <w:rPr/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eastAsiaTheme="minorHAnsi" w:hAnsi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color w:themeColor="text1" w:themeTint="3F" w:val="BFBFBF"/>
      <w:sz w:val="24"/>
      <w:i w:val="true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sz w:val="24"/>
      <w:i w:val="true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  <w:i w:val="true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color w:themeColor="text1" w:themeTint="3F" w:val="BFBFBF"/>
      <w:sz w:val="24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spacing w:val="5"/>
      <w:b w:val="true"/>
      <w:sz w:val="24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b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themeColor="background1" w:val="FFFFFF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1773979487034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2026-03-20T04:04:46Z</dcterms:created>
  <dc:creator>guest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