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1D0212">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1D0212">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1D0212">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1D0212">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1D0212">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1D0212">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1D0212">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1D0212">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1D0212">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1D0212">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1D0212">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1D0212">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1D0212">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1D0212">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1D0212">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1D0212">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1D0212">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r w:rsidR="001D0212">
        <w:fldChar w:fldCharType="begin"/>
      </w:r>
      <w:r w:rsidR="001D0212">
        <w:instrText xml:space="preserve"> SEQ Figure \* ARABIC </w:instrText>
      </w:r>
      <w:r w:rsidR="001D0212">
        <w:fldChar w:fldCharType="separate"/>
      </w:r>
      <w:r w:rsidR="002D5596">
        <w:rPr>
          <w:noProof/>
        </w:rPr>
        <w:t>1</w:t>
      </w:r>
      <w:r w:rsidR="001D0212">
        <w:rPr>
          <w:noProof/>
        </w:rPr>
        <w:fldChar w:fldCharType="end"/>
      </w:r>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r w:rsidR="001D0212">
        <w:fldChar w:fldCharType="begin"/>
      </w:r>
      <w:r w:rsidR="001D0212">
        <w:instrText xml:space="preserve"> SEQ Figure \* ARABIC </w:instrText>
      </w:r>
      <w:r w:rsidR="001D0212">
        <w:fldChar w:fldCharType="separate"/>
      </w:r>
      <w:r w:rsidR="002D5596">
        <w:rPr>
          <w:noProof/>
        </w:rPr>
        <w:t>2</w:t>
      </w:r>
      <w:r w:rsidR="001D0212">
        <w:rPr>
          <w:noProof/>
        </w:rPr>
        <w:fldChar w:fldCharType="end"/>
      </w:r>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w:t>
      </w:r>
      <w:r>
        <w:rPr>
          <w:color w:val="000000"/>
        </w:rPr>
        <w:lastRenderedPageBreak/>
        <w:t>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449C6489"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lastRenderedPageBreak/>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r w:rsidR="001D0212">
        <w:fldChar w:fldCharType="begin"/>
      </w:r>
      <w:r w:rsidR="001D0212">
        <w:instrText xml:space="preserve"> SEQ Figure \* ARABIC </w:instrText>
      </w:r>
      <w:r w:rsidR="001D0212">
        <w:fldChar w:fldCharType="separate"/>
      </w:r>
      <w:r w:rsidR="002D5596">
        <w:rPr>
          <w:noProof/>
        </w:rPr>
        <w:t>3</w:t>
      </w:r>
      <w:r w:rsidR="001D0212">
        <w:rPr>
          <w:noProof/>
        </w:rPr>
        <w:fldChar w:fldCharType="end"/>
      </w:r>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r w:rsidR="001D0212">
        <w:fldChar w:fldCharType="begin"/>
      </w:r>
      <w:r w:rsidR="001D0212">
        <w:instrText xml:space="preserve"> SEQ Figure \* ARABIC </w:instrText>
      </w:r>
      <w:r w:rsidR="001D0212">
        <w:fldChar w:fldCharType="separate"/>
      </w:r>
      <w:r>
        <w:rPr>
          <w:noProof/>
        </w:rPr>
        <w:t>4</w:t>
      </w:r>
      <w:r w:rsidR="001D0212">
        <w:rPr>
          <w:noProof/>
        </w:rPr>
        <w:fldChar w:fldCharType="end"/>
      </w:r>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7C8C053C" w14:textId="77777777"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6"/>
      <w:r w:rsidR="00012EDD" w:rsidRPr="002B0B42">
        <w:rPr>
          <w:rFonts w:asciiTheme="minorHAnsi" w:hAnsiTheme="minorHAnsi" w:cstheme="minorHAnsi"/>
          <w:sz w:val="24"/>
        </w:rPr>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384AD999"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525FAB57"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lastRenderedPageBreak/>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9624B8D"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bookmarkStart w:id="18" w:name="_GoBack"/>
      <w:bookmarkEnd w:id="18"/>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AE67F" w14:textId="77777777" w:rsidR="001D0212" w:rsidRDefault="001D0212" w:rsidP="00672829">
      <w:pPr>
        <w:spacing w:after="0" w:line="240" w:lineRule="auto"/>
      </w:pPr>
      <w:r>
        <w:separator/>
      </w:r>
    </w:p>
  </w:endnote>
  <w:endnote w:type="continuationSeparator" w:id="0">
    <w:p w14:paraId="7A3C19F0" w14:textId="77777777" w:rsidR="001D0212" w:rsidRDefault="001D0212" w:rsidP="00672829">
      <w:pPr>
        <w:spacing w:after="0" w:line="240" w:lineRule="auto"/>
      </w:pPr>
      <w:r>
        <w:continuationSeparator/>
      </w:r>
    </w:p>
  </w:endnote>
  <w:endnote w:type="continuationNotice" w:id="1">
    <w:p w14:paraId="3D7F3DBC" w14:textId="77777777" w:rsidR="001D0212" w:rsidRDefault="001D0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6A14A645" w:rsidR="00082E53" w:rsidRDefault="00082E53">
        <w:pPr>
          <w:pStyle w:val="Pieddepage"/>
          <w:jc w:val="center"/>
        </w:pPr>
        <w:r>
          <w:fldChar w:fldCharType="begin"/>
        </w:r>
        <w:r>
          <w:instrText>PAGE   \* MERGEFORMAT</w:instrText>
        </w:r>
        <w:r>
          <w:fldChar w:fldCharType="separate"/>
        </w:r>
        <w:r w:rsidR="002B0B42">
          <w:rPr>
            <w:noProof/>
          </w:rPr>
          <w:t>2</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7F4BA" w14:textId="77777777" w:rsidR="001D0212" w:rsidRDefault="001D0212" w:rsidP="00672829">
      <w:pPr>
        <w:spacing w:after="0" w:line="240" w:lineRule="auto"/>
      </w:pPr>
      <w:r>
        <w:separator/>
      </w:r>
    </w:p>
  </w:footnote>
  <w:footnote w:type="continuationSeparator" w:id="0">
    <w:p w14:paraId="12EED354" w14:textId="77777777" w:rsidR="001D0212" w:rsidRDefault="001D0212" w:rsidP="00672829">
      <w:pPr>
        <w:spacing w:after="0" w:line="240" w:lineRule="auto"/>
      </w:pPr>
      <w:r>
        <w:continuationSeparator/>
      </w:r>
    </w:p>
  </w:footnote>
  <w:footnote w:type="continuationNotice" w:id="1">
    <w:p w14:paraId="4FF63848" w14:textId="77777777" w:rsidR="001D0212" w:rsidRDefault="001D021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D0212"/>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75FEA"/>
    <w:rsid w:val="002875D6"/>
    <w:rsid w:val="00290872"/>
    <w:rsid w:val="00291F32"/>
    <w:rsid w:val="00292598"/>
    <w:rsid w:val="00292966"/>
    <w:rsid w:val="00293020"/>
    <w:rsid w:val="00293A6F"/>
    <w:rsid w:val="00293BE7"/>
    <w:rsid w:val="002940A9"/>
    <w:rsid w:val="002A3B3E"/>
    <w:rsid w:val="002A7E78"/>
    <w:rsid w:val="002B0B42"/>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8519F"/>
    <w:rsid w:val="00695757"/>
    <w:rsid w:val="006A4E89"/>
    <w:rsid w:val="006B3AC2"/>
    <w:rsid w:val="006B4E50"/>
    <w:rsid w:val="006D76D0"/>
    <w:rsid w:val="006F3204"/>
    <w:rsid w:val="00706D25"/>
    <w:rsid w:val="007112F0"/>
    <w:rsid w:val="00727896"/>
    <w:rsid w:val="00735948"/>
    <w:rsid w:val="00747196"/>
    <w:rsid w:val="00750FA1"/>
    <w:rsid w:val="007567FF"/>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30E"/>
    <w:rsid w:val="0087351B"/>
    <w:rsid w:val="00880FE4"/>
    <w:rsid w:val="00890F51"/>
    <w:rsid w:val="00894705"/>
    <w:rsid w:val="0089560E"/>
    <w:rsid w:val="008A312D"/>
    <w:rsid w:val="008A69D8"/>
    <w:rsid w:val="008A7613"/>
    <w:rsid w:val="008B572E"/>
    <w:rsid w:val="008C3DF8"/>
    <w:rsid w:val="008C72FC"/>
    <w:rsid w:val="008D24B9"/>
    <w:rsid w:val="008D28B6"/>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343D33-229B-4F42-B816-7DB40CCC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3132</Words>
  <Characters>17227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304</cp:revision>
  <dcterms:created xsi:type="dcterms:W3CDTF">2020-10-31T09:55:00Z</dcterms:created>
  <dcterms:modified xsi:type="dcterms:W3CDTF">2020-11-26T15:13:00Z</dcterms:modified>
</cp:coreProperties>
</file>