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8A9089"/>
          <w:sz w:val="20"/>
          <w:szCs w:val="20"/>
        </w:rPr>
        <w:t xml:space="preserve">FEED THE FUTURE — USAID</w:t>
      </w:r>
    </w:p>
    <w:p>
      <w:pPr>
        <w:spacing w:after="260"/>
      </w:pPr>
      <w:r>
        <w:rPr>
          <w:color w:val="55625A"/>
          <w:sz w:val="20"/>
          <w:szCs w:val="20"/>
        </w:rPr>
        <w:t xml:space="preserve">Great Lakes Accelerated Innovation Delivery Initiative (AID-I)</w:t>
      </w:r>
    </w:p>
    <w:p>
      <w:pPr>
        <w:spacing w:after="40"/>
      </w:pPr>
      <w:r>
        <w:rPr>
          <w:b/>
          <w:bCs/>
          <w:color w:val="14603A"/>
          <w:sz w:val="44"/>
          <w:szCs w:val="44"/>
        </w:rPr>
        <w:t xml:space="preserve">Rapport de suivi des réalisations</w:t>
      </w:r>
    </w:p>
    <w:p>
      <w:pPr>
        <w:spacing w:after="380"/>
      </w:pPr>
      <w:r>
        <w:rPr>
          <w:color w:val="161F19"/>
          <w:sz w:val="26"/>
          <w:szCs w:val="26"/>
        </w:rPr>
        <w:t xml:space="preserve">Ménages et participants atteints par les innovations agricoles diffusées</w:t>
      </w:r>
    </w:p>
    <w:p>
      <w:pPr>
        <w:pBdr>
          <w:top w:val="single" w:color="1D7A4C" w:sz="4" w:space="8"/>
        </w:pBdr>
        <w:spacing w:after="120" w:before="200"/>
      </w:pPr>
      <w:r>
        <w:rPr>
          <w:color w:val="55625A"/>
          <w:sz w:val="20"/>
          <w:szCs w:val="20"/>
        </w:rPr>
        <w:t xml:space="preserve">Composante Rikolto — Province du Sud-Kivu, République démocratique du Congo</w:t>
      </w:r>
    </w:p>
    <w:p>
      <w:pPr>
        <w:spacing w:after="60"/>
      </w:pPr>
      <w:r>
        <w:rPr>
          <w:color w:val="55625A"/>
          <w:sz w:val="20"/>
          <w:szCs w:val="20"/>
        </w:rPr>
        <w:t xml:space="preserve">Période couverte : avril 2023 – décembre 2024 (7 trimestres)</w:t>
      </w:r>
    </w:p>
    <w:p>
      <w:pPr>
        <w:spacing w:after="900"/>
      </w:pPr>
      <w:r>
        <w:rPr>
          <w:i/>
          <w:iCs/>
          <w:color w:val="8A9089"/>
          <w:sz w:val="18"/>
          <w:szCs w:val="18"/>
        </w:rPr>
        <w:t xml:space="preserve">Document préparé pour la Direction · 21 septembre 2026</w:t>
      </w:r>
    </w:p>
    <w:tbl>
      <w:tblPr>
        <w:tblW w:type="dxa" w:w="9020"/>
        <w:tblBorders>
          <w:top w:val="none"/>
          <w:left w:val="none"/>
          <w:bottom w:val="none"/>
          <w:right w:val="none"/>
          <w:insideH w:val="none"/>
          <w:insideV w:val="none"/>
        </w:tblBorders>
      </w:tblPr>
      <w:tblGrid>
        <w:gridCol w:w="3006"/>
        <w:gridCol w:w="3006"/>
        <w:gridCol w:w="3008"/>
      </w:tblGrid>
      <w:tr>
        <w:tc>
          <w:tcPr>
            <w:tcW w:type="dxa" w:w="3006"/>
            <w:shd w:fill="F5F4EE" w:val="clear"/>
            <w:tcMar>
              <w:top w:type="dxa" w:w="160"/>
              <w:left w:type="dxa" w:w="160"/>
              <w:bottom w:type="dxa" w:w="160"/>
              <w:right w:type="dxa" w:w="160"/>
            </w:tcMar>
          </w:tcPr>
          <w:p>
            <w:pPr>
              <w:spacing w:after="40"/>
            </w:pPr>
            <w:r>
              <w:rPr>
                <w:b/>
                <w:bCs/>
                <w:color w:val="14603A"/>
                <w:sz w:val="30"/>
                <w:szCs w:val="30"/>
              </w:rPr>
              <w:t xml:space="preserve">261 765</w:t>
            </w:r>
          </w:p>
          <w:p>
            <w:r>
              <w:rPr>
                <w:color w:val="55625A"/>
                <w:sz w:val="16"/>
                <w:szCs w:val="16"/>
              </w:rPr>
              <w:t xml:space="preserve">Ménages/participants uniques atteints</w:t>
            </w:r>
          </w:p>
        </w:tc>
        <w:tc>
          <w:tcPr>
            <w:tcW w:type="dxa" w:w="3006"/>
            <w:shd w:fill="F5F4EE" w:val="clear"/>
            <w:tcMar>
              <w:top w:type="dxa" w:w="160"/>
              <w:left w:type="dxa" w:w="160"/>
              <w:bottom w:type="dxa" w:w="160"/>
              <w:right w:type="dxa" w:w="160"/>
            </w:tcMar>
          </w:tcPr>
          <w:p>
            <w:pPr>
              <w:spacing w:after="40"/>
            </w:pPr>
            <w:r>
              <w:rPr>
                <w:b/>
                <w:bCs/>
                <w:color w:val="14603A"/>
                <w:sz w:val="30"/>
                <w:szCs w:val="30"/>
              </w:rPr>
              <w:t xml:space="preserve">106,8 %</w:t>
            </w:r>
          </w:p>
          <w:p>
            <w:r>
              <w:rPr>
                <w:color w:val="55625A"/>
                <w:sz w:val="16"/>
                <w:szCs w:val="16"/>
              </w:rPr>
              <w:t xml:space="preserve">Taux d'atteinte de la cible FY23-24</w:t>
            </w:r>
          </w:p>
        </w:tc>
        <w:tc>
          <w:tcPr>
            <w:tcW w:type="dxa" w:w="3008"/>
            <w:shd w:fill="F5F4EE" w:val="clear"/>
            <w:tcMar>
              <w:top w:type="dxa" w:w="160"/>
              <w:left w:type="dxa" w:w="160"/>
              <w:bottom w:type="dxa" w:w="160"/>
              <w:right w:type="dxa" w:w="160"/>
            </w:tcMar>
          </w:tcPr>
          <w:p>
            <w:pPr>
              <w:spacing w:after="40"/>
            </w:pPr>
            <w:r>
              <w:rPr>
                <w:b/>
                <w:bCs/>
                <w:color w:val="14603A"/>
                <w:sz w:val="30"/>
                <w:szCs w:val="30"/>
              </w:rPr>
              <w:t xml:space="preserve">54,1 %</w:t>
            </w:r>
          </w:p>
          <w:p>
            <w:r>
              <w:rPr>
                <w:color w:val="55625A"/>
                <w:sz w:val="16"/>
                <w:szCs w:val="16"/>
              </w:rPr>
              <w:t xml:space="preserve">Part des femmes</w:t>
            </w:r>
          </w:p>
        </w:tc>
      </w:tr>
    </w:tbl>
    <w:p>
      <w:r>
        <w:br w:type="page"/>
      </w:r>
    </w:p>
    <w:p>
      <w:pPr>
        <w:sectPr>
          <w:pgSz w:w="11906" w:h="16838" w:orient="portrait"/>
          <w:pgMar w:top="1000" w:right="1100" w:bottom="1000" w:left="1100" w:header="708" w:footer="708" w:gutter="0"/>
          <w:pgNumType/>
          <w:docGrid w:linePitch="360"/>
        </w:sectPr>
      </w:pPr>
    </w:p>
    <w:p>
      <w:pPr>
        <w:pStyle w:val="Heading1"/>
        <w:pBdr>
          <w:bottom w:val="single" w:color="1D7A4C" w:sz="6" w:space="6"/>
        </w:pBdr>
        <w:spacing w:after="200" w:before="420"/>
      </w:pPr>
      <w:r>
        <w:rPr>
          <w:b/>
          <w:bCs/>
          <w:color w:val="14603A"/>
          <w:sz w:val="30"/>
          <w:szCs w:val="30"/>
        </w:rPr>
        <w:t xml:space="preserve">1. Résumé exécutif</w:t>
      </w:r>
    </w:p>
    <w:p>
      <w:pPr>
        <w:spacing w:after="160" w:line="300"/>
      </w:pPr>
      <w:r>
        <w:rPr>
          <w:b w:val="false"/>
          <w:bCs w:val="false"/>
          <w:i w:val="false"/>
          <w:iCs w:val="false"/>
          <w:color w:val="161F19"/>
          <w:sz w:val="21"/>
          <w:szCs w:val="21"/>
        </w:rPr>
        <w:t xml:space="preserve">Entre avril 2023 et décembre 2024, le projet AID-I (Accelerated Innovation Delivery Initiative), financé par l'USAID dans le cadre de l'initiative Feed the Future, a touché 261 765 ménages et participants uniques dans la province du Sud-Kivu (RDC), via sa composante mise en œuvre par Rikolto et ses partenaires (SARCAF, VSF, IITA et centres CGIAR).</w:t>
      </w:r>
    </w:p>
    <w:p>
      <w:pPr>
        <w:spacing w:after="160" w:line="300"/>
      </w:pPr>
      <w:r>
        <w:rPr>
          <w:b w:val="false"/>
          <w:bCs w:val="false"/>
          <w:i w:val="false"/>
          <w:iCs w:val="false"/>
          <w:color w:val="161F19"/>
          <w:sz w:val="21"/>
          <w:szCs w:val="21"/>
        </w:rPr>
        <w:t xml:space="preserve">Ce résultat dépasse de 6,8 % la cible de 245 000 exploitants agricoles fixée pour l'exercice FY23-24, et recoupe à 99,9996 % le chiffre officiel de clôture communiqué dans l'infographie institutionnelle du projet (261 766 ménages au 31 mars 2025). La base de données consolidée dans le cadre de cette analyse constitue donc une validation indépendante et fiable du résultat phare du projet.</w:t>
      </w:r>
    </w:p>
    <w:tbl>
      <w:tblPr>
        <w:tblW w:type="dxa" w:w="9020"/>
        <w:tblBorders>
          <w:top w:val="none"/>
          <w:left w:val="none"/>
          <w:bottom w:val="none"/>
          <w:right w:val="none"/>
          <w:insideH w:val="none"/>
          <w:insideV w:val="none"/>
        </w:tblBorders>
      </w:tblPr>
      <w:tblGrid>
        <w:gridCol w:w="3006"/>
        <w:gridCol w:w="3006"/>
        <w:gridCol w:w="3008"/>
      </w:tblGrid>
      <w:tr>
        <w:tc>
          <w:tcPr>
            <w:tcW w:type="dxa" w:w="3006"/>
            <w:shd w:fill="F5F4EE" w:val="clear"/>
            <w:tcMar>
              <w:top w:type="dxa" w:w="160"/>
              <w:left w:type="dxa" w:w="160"/>
              <w:bottom w:type="dxa" w:w="160"/>
              <w:right w:type="dxa" w:w="160"/>
            </w:tcMar>
          </w:tcPr>
          <w:p>
            <w:pPr>
              <w:spacing w:after="40"/>
            </w:pPr>
            <w:r>
              <w:rPr>
                <w:b/>
                <w:bCs/>
                <w:color w:val="14603A"/>
                <w:sz w:val="30"/>
                <w:szCs w:val="30"/>
              </w:rPr>
              <w:t xml:space="preserve">261 765</w:t>
            </w:r>
          </w:p>
          <w:p>
            <w:r>
              <w:rPr>
                <w:color w:val="55625A"/>
                <w:sz w:val="16"/>
                <w:szCs w:val="16"/>
              </w:rPr>
              <w:t xml:space="preserve">Ménages atteints (cumul)</w:t>
            </w:r>
          </w:p>
        </w:tc>
        <w:tc>
          <w:tcPr>
            <w:tcW w:type="dxa" w:w="3006"/>
            <w:shd w:fill="F5F4EE" w:val="clear"/>
            <w:tcMar>
              <w:top w:type="dxa" w:w="160"/>
              <w:left w:type="dxa" w:w="160"/>
              <w:bottom w:type="dxa" w:w="160"/>
              <w:right w:type="dxa" w:w="160"/>
            </w:tcMar>
          </w:tcPr>
          <w:p>
            <w:pPr>
              <w:spacing w:after="40"/>
            </w:pPr>
            <w:r>
              <w:rPr>
                <w:b/>
                <w:bCs/>
                <w:color w:val="14603A"/>
                <w:sz w:val="30"/>
                <w:szCs w:val="30"/>
              </w:rPr>
              <w:t xml:space="preserve">+16 765</w:t>
            </w:r>
          </w:p>
          <w:p>
            <w:r>
              <w:rPr>
                <w:color w:val="55625A"/>
                <w:sz w:val="16"/>
                <w:szCs w:val="16"/>
              </w:rPr>
              <w:t xml:space="preserve">vs cible FY23-24 (245 000)</w:t>
            </w:r>
          </w:p>
        </w:tc>
        <w:tc>
          <w:tcPr>
            <w:tcW w:type="dxa" w:w="3008"/>
            <w:shd w:fill="F5F4EE" w:val="clear"/>
            <w:tcMar>
              <w:top w:type="dxa" w:w="160"/>
              <w:left w:type="dxa" w:w="160"/>
              <w:bottom w:type="dxa" w:w="160"/>
              <w:right w:type="dxa" w:w="160"/>
            </w:tcMar>
          </w:tcPr>
          <w:p>
            <w:pPr>
              <w:spacing w:after="40"/>
            </w:pPr>
            <w:r>
              <w:rPr>
                <w:b/>
                <w:bCs/>
                <w:color w:val="B06A13"/>
                <w:sz w:val="30"/>
                <w:szCs w:val="30"/>
              </w:rPr>
              <w:t xml:space="preserve">− 1</w:t>
            </w:r>
          </w:p>
          <w:p>
            <w:r>
              <w:rPr>
                <w:color w:val="55625A"/>
                <w:sz w:val="16"/>
                <w:szCs w:val="16"/>
              </w:rPr>
              <w:t xml:space="preserve">vs chiffre officiel clôture</w:t>
            </w:r>
          </w:p>
        </w:tc>
      </w:tr>
    </w:tbl>
    <w:p>
      <w:pPr>
        <w:spacing w:after="100" w:before="220"/>
      </w:pPr>
      <w:r>
        <w:rPr>
          <w:b/>
          <w:bCs/>
          <w:color w:val="161F19"/>
          <w:sz w:val="21"/>
          <w:szCs w:val="21"/>
        </w:rPr>
        <w:t xml:space="preserve">Faits marquants</w:t>
      </w:r>
    </w:p>
    <w:p>
      <w:pPr>
        <w:pStyle w:val="ListParagraph"/>
        <w:numPr>
          <w:ilvl w:val="0"/>
          <w:numId w:val="2"/>
        </w:numPr>
        <w:spacing w:after="90"/>
      </w:pPr>
      <w:r>
        <w:rPr>
          <w:b w:val="false"/>
          <w:bCs w:val="false"/>
          <w:color w:val="161F19"/>
          <w:sz w:val="21"/>
          <w:szCs w:val="21"/>
        </w:rPr>
        <w:t xml:space="preserve">La croissance des réalisations s'est fortement accélérée à partir du 3ᵉ trimestre 2023, avec deux pics d'acquisition de ménages : le T3 2023 (+57 393) et le T2 2024 (+78 082), ce dernier portant à lui seul 30 % du total cumulé.</w:t>
      </w:r>
    </w:p>
    <w:p>
      <w:pPr>
        <w:pStyle w:val="ListParagraph"/>
        <w:numPr>
          <w:ilvl w:val="0"/>
          <w:numId w:val="2"/>
        </w:numPr>
        <w:spacing w:after="90"/>
      </w:pPr>
      <w:r>
        <w:rPr>
          <w:b w:val="false"/>
          <w:bCs w:val="false"/>
          <w:color w:val="161F19"/>
          <w:sz w:val="21"/>
          <w:szCs w:val="21"/>
        </w:rPr>
        <w:t xml:space="preserve">54,1 % des ménages atteints sont représentés par une femme (141 537), au-dessus de la cible de représentation féminine de 40 % à 60 % fixée par le projet.</w:t>
      </w:r>
    </w:p>
    <w:p>
      <w:pPr>
        <w:pStyle w:val="ListParagraph"/>
        <w:numPr>
          <w:ilvl w:val="0"/>
          <w:numId w:val="2"/>
        </w:numPr>
        <w:spacing w:after="90"/>
      </w:pPr>
      <w:r>
        <w:rPr>
          <w:b w:val="false"/>
          <w:bCs w:val="false"/>
          <w:color w:val="161F19"/>
          <w:sz w:val="21"/>
          <w:szCs w:val="21"/>
        </w:rPr>
        <w:t xml:space="preserve">22,7 % des participants ont entre 15 et 29 ans (59 415 jeunes), proche de la cible de 20 % de représentation des jeunes.</w:t>
      </w:r>
    </w:p>
    <w:p>
      <w:pPr>
        <w:pStyle w:val="ListParagraph"/>
        <w:numPr>
          <w:ilvl w:val="0"/>
          <w:numId w:val="2"/>
        </w:numPr>
        <w:spacing w:after="90"/>
      </w:pPr>
      <w:r>
        <w:rPr>
          <w:b w:val="false"/>
          <w:bCs w:val="false"/>
          <w:color w:val="161F19"/>
          <w:sz w:val="21"/>
          <w:szCs w:val="21"/>
        </w:rPr>
        <w:t xml:space="preserve">La couverture s'étend sur 7 territoires du Sud-Kivu ; le territoire d'Uvira concentre à lui seul 33,9 % des ménages touchés, suivi de Kalehe (19,8 %) et Walungu (19,3 %).</w:t>
      </w:r>
    </w:p>
    <w:p>
      <w:pPr>
        <w:pStyle w:val="ListParagraph"/>
        <w:numPr>
          <w:ilvl w:val="0"/>
          <w:numId w:val="2"/>
        </w:numPr>
        <w:spacing w:after="90"/>
      </w:pPr>
      <w:r>
        <w:rPr>
          <w:b w:val="false"/>
          <w:bCs w:val="false"/>
          <w:color w:val="161F19"/>
          <w:sz w:val="21"/>
          <w:szCs w:val="21"/>
        </w:rPr>
        <w:t xml:space="preserve">96,6 % des personnes enregistrées sont des exploitants agricoles directs ; les 3,4 % restants sont des paysans relais (VBA), agents publics ou personnel des partenaires assurant le relais de la diffusion.</w:t>
      </w:r>
    </w:p>
    <w:p>
      <w:pPr>
        <w:pStyle w:val="Heading1"/>
        <w:pBdr>
          <w:bottom w:val="single" w:color="1D7A4C" w:sz="6" w:space="6"/>
        </w:pBdr>
        <w:spacing w:after="200" w:before="420"/>
      </w:pPr>
      <w:r>
        <w:rPr>
          <w:b/>
          <w:bCs/>
          <w:color w:val="14603A"/>
          <w:sz w:val="30"/>
          <w:szCs w:val="30"/>
        </w:rPr>
        <w:t xml:space="preserve">2. Contexte du projet</w:t>
      </w:r>
    </w:p>
    <w:p>
      <w:pPr>
        <w:spacing w:after="160" w:line="300"/>
      </w:pPr>
      <w:r>
        <w:rPr>
          <w:b w:val="false"/>
          <w:bCs w:val="false"/>
          <w:i w:val="false"/>
          <w:iCs w:val="false"/>
          <w:color w:val="161F19"/>
          <w:sz w:val="21"/>
          <w:szCs w:val="21"/>
        </w:rPr>
        <w:t xml:space="preserve">Le projet AID-I – Great Lakes Accelerated Innovation Delivery Initiative (Hub Grands Lacs) vise à accélérer l'accès des ménages agricoles à des innovations et pratiques agricoles éprouvées (semences améliorées, pratiques d'élevage, gestion post-récolte, modèles d'agrégation) dans les zones ciblées de la RDC. Il est financé par l'USAID au titre de l'initiative Feed the Future et mis en œuvre par un consortium coordonné par les centres CGIAR (IITA, Alliance Bioversity-CIAT, CIP, IRRI, ILRI, WorldVeg), avec des partenaires de mise à l'échelle, dont Rikolto, Vétérinaires Sans Frontières (VSF) et SARCAF.</w:t>
      </w:r>
    </w:p>
    <w:p>
      <w:pPr>
        <w:spacing w:after="160" w:line="300"/>
      </w:pPr>
      <w:r>
        <w:rPr>
          <w:b w:val="false"/>
          <w:bCs w:val="false"/>
          <w:i w:val="false"/>
          <w:iCs w:val="false"/>
          <w:color w:val="161F19"/>
          <w:sz w:val="21"/>
          <w:szCs w:val="21"/>
        </w:rPr>
        <w:t xml:space="preserve">La composante analysée dans ce rapport est celle suivie par Rikolto dans la province du Sud-Kivu, où les ménages sont touchés via un modèle d'agents villageois de base (VBAs), la promotion de petits paquets d'intrants (« small packs »), des séances de sensibilisation, des formations et des journées de démonstration en champ.</w:t>
      </w:r>
    </w:p>
    <w:p>
      <w:pPr>
        <w:pStyle w:val="Heading1"/>
        <w:pBdr>
          <w:bottom w:val="single" w:color="1D7A4C" w:sz="6" w:space="6"/>
        </w:pBdr>
        <w:spacing w:after="200" w:before="420"/>
      </w:pPr>
      <w:r>
        <w:rPr>
          <w:b/>
          <w:bCs/>
          <w:color w:val="14603A"/>
          <w:sz w:val="30"/>
          <w:szCs w:val="30"/>
        </w:rPr>
        <w:t xml:space="preserve">3. Méthodologie et sources de données</w:t>
      </w:r>
    </w:p>
    <w:p>
      <w:pPr>
        <w:spacing w:after="160" w:line="300"/>
      </w:pPr>
      <w:r>
        <w:rPr>
          <w:b w:val="false"/>
          <w:bCs w:val="false"/>
          <w:i w:val="false"/>
          <w:iCs w:val="false"/>
          <w:color w:val="161F19"/>
          <w:sz w:val="21"/>
          <w:szCs w:val="21"/>
        </w:rPr>
        <w:t xml:space="preserve">Les données sources sont trois extractions individuelles de la base de suivi des participants de Rikolto (une ligne par personne et par événement) :</w:t>
      </w:r>
    </w:p>
    <w:p>
      <w:pPr>
        <w:pStyle w:val="ListParagraph"/>
        <w:numPr>
          <w:ilvl w:val="0"/>
          <w:numId w:val="2"/>
        </w:numPr>
        <w:spacing w:after="90"/>
      </w:pPr>
      <w:r>
        <w:rPr>
          <w:b w:val="false"/>
          <w:bCs w:val="false"/>
          <w:color w:val="161F19"/>
          <w:sz w:val="21"/>
          <w:szCs w:val="21"/>
        </w:rPr>
        <w:t xml:space="preserve">Cumul à date (T2 2023 → T3 2024, partiel) — 189 460 participants uniques</w:t>
      </w:r>
    </w:p>
    <w:p>
      <w:pPr>
        <w:pStyle w:val="ListParagraph"/>
        <w:numPr>
          <w:ilvl w:val="0"/>
          <w:numId w:val="2"/>
        </w:numPr>
        <w:spacing w:after="90"/>
      </w:pPr>
      <w:r>
        <w:rPr>
          <w:b w:val="false"/>
          <w:bCs w:val="false"/>
          <w:color w:val="161F19"/>
          <w:sz w:val="21"/>
          <w:szCs w:val="21"/>
        </w:rPr>
        <w:t xml:space="preserve">Lot 3ᵉ trimestre 2024 (juillet–septembre) — 18 057 participants uniques</w:t>
      </w:r>
    </w:p>
    <w:p>
      <w:pPr>
        <w:pStyle w:val="ListParagraph"/>
        <w:numPr>
          <w:ilvl w:val="0"/>
          <w:numId w:val="2"/>
        </w:numPr>
        <w:spacing w:after="90"/>
      </w:pPr>
      <w:r>
        <w:rPr>
          <w:b w:val="false"/>
          <w:bCs w:val="false"/>
          <w:color w:val="161F19"/>
          <w:sz w:val="21"/>
          <w:szCs w:val="21"/>
        </w:rPr>
        <w:t xml:space="preserve">Lot 4ᵉ trimestre 2024 (octobre–décembre) — 54 249 participants uniques</w:t>
      </w:r>
    </w:p>
    <w:p>
      <w:pPr>
        <w:spacing w:after="160" w:line="300"/>
      </w:pPr>
      <w:r>
        <w:rPr>
          <w:b w:val="false"/>
          <w:bCs w:val="false"/>
          <w:i w:val="false"/>
          <w:iCs w:val="false"/>
          <w:color w:val="161F19"/>
          <w:sz w:val="21"/>
          <w:szCs w:val="21"/>
        </w:rPr>
        <w:t xml:space="preserve">Ces trois lots ont été empilés puis dédupliqués sur l'identifiant unique du participant : un seul chevauchement (1 identifiant) a été identifié entre le lot cumulatif et le lot du T3 2024, confirmant que ces extractions couvrent des cohortes très largement distinctes. Le total consolidé s'établit à 261 765 ménages/participants uniques, contre 261 766 dans l'infographie officielle de clôture du projet (écart de 1 unité, soit 99,9996 % de concordance).</w:t>
      </w:r>
    </w:p>
    <w:p>
      <w:pPr>
        <w:spacing w:after="160" w:line="300"/>
      </w:pPr>
      <w:r>
        <w:rPr>
          <w:b w:val="false"/>
          <w:bCs w:val="false"/>
          <w:i w:val="false"/>
          <w:iCs w:val="false"/>
          <w:color w:val="161F19"/>
          <w:sz w:val="21"/>
          <w:szCs w:val="21"/>
        </w:rPr>
        <w:t xml:space="preserve">Le trimestre d'entrée dans le projet retenu pour chaque ménage est celui renseigné dans son enregistrement d'origine (champ « Quarter »), ce qui permet de reconstituer une trajectoire trimestrielle réelle des réalisations, indépendamment du fichier source.</w:t>
      </w:r>
    </w:p>
    <w:p>
      <w:pPr>
        <w:spacing w:after="200"/>
      </w:pPr>
      <w:r>
        <w:rPr>
          <w:i/>
          <w:iCs/>
          <w:color w:val="8A9089"/>
          <w:sz w:val="18"/>
          <w:szCs w:val="18"/>
        </w:rPr>
        <w:t xml:space="preserve">Note méthodologique : l'analyse a été conduite avec un moteur de traitement Python répliquant fidèlement un pipeline Stata standard (import, empilement, déduplication, tabulations). Un script Stata (.do) exécutant la même séquence sur les fichiers sources est fourni en complément de ce rapport pour permettre à la Direction de reproduire les résultats dans l'environnement Stata du projet.</w:t>
      </w:r>
    </w:p>
    <w:p>
      <w:pPr>
        <w:pStyle w:val="Heading1"/>
        <w:pBdr>
          <w:bottom w:val="single" w:color="1D7A4C" w:sz="6" w:space="6"/>
        </w:pBdr>
        <w:spacing w:after="200" w:before="420"/>
      </w:pPr>
      <w:r>
        <w:rPr>
          <w:b/>
          <w:bCs/>
          <w:color w:val="14603A"/>
          <w:sz w:val="30"/>
          <w:szCs w:val="30"/>
        </w:rPr>
        <w:t xml:space="preserve">4. Ménages atteints : résultat phare</w:t>
      </w:r>
    </w:p>
    <w:p>
      <w:pPr>
        <w:spacing w:after="160" w:line="300"/>
      </w:pPr>
      <w:r>
        <w:rPr>
          <w:b w:val="false"/>
          <w:bCs w:val="false"/>
          <w:i w:val="false"/>
          <w:iCs w:val="false"/>
          <w:color w:val="161F19"/>
          <w:sz w:val="21"/>
          <w:szCs w:val="21"/>
        </w:rPr>
        <w:t xml:space="preserve">Au 31 décembre 2024, le projet a touché 261 765 ménages et participants uniques dans le Sud-Kivu, soit un taux d'atteinte de 106,8 % par rapport à la cible de 245 000 exploitants fixée pour l'exercice FY23-24.</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6200"/>
        <w:gridCol w:w="2820"/>
      </w:tblGrid>
      <w:tr>
        <w:trPr>
          <w:tblHeader/>
        </w:trPr>
        <w:tc>
          <w:tcPr>
            <w:tcW w:type="dxa" w:w="6200"/>
            <w:shd w:fill="1D7A4C" w:val="clear"/>
            <w:tcMar>
              <w:top w:type="dxa" w:w="90"/>
              <w:left w:type="dxa" w:w="120"/>
              <w:bottom w:type="dxa" w:w="90"/>
              <w:right w:type="dxa" w:w="120"/>
            </w:tcMar>
            <w:vAlign w:val="center"/>
          </w:tcPr>
          <w:p>
            <w:pPr>
              <w:jc w:val="left"/>
            </w:pPr>
            <w:r>
              <w:rPr>
                <w:b/>
                <w:bCs/>
                <w:color w:val="FFFFFF"/>
                <w:sz w:val="17"/>
                <w:szCs w:val="17"/>
              </w:rPr>
              <w:t xml:space="preserve">Indicateur</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Valeur</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Ménages/participants uniques atteints (cumul déc. 2024)</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261 765</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Cible FY23-24 (exploitants agricoles)</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245 000</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Taux d'atteinte de la cible</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106,8 %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Chiffre officiel de clôture (infographie, 31 mars 2025)</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261 766</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Écart base consolidée vs chiffre officiel</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 (0,0004 %)</w:t>
            </w:r>
          </w:p>
        </w:tc>
      </w:tr>
    </w:tbl>
    <w:p>
      <w:pPr>
        <w:pStyle w:val="Heading1"/>
        <w:pBdr>
          <w:bottom w:val="single" w:color="1D7A4C" w:sz="6" w:space="6"/>
        </w:pBdr>
        <w:spacing w:after="200" w:before="420"/>
      </w:pPr>
      <w:r>
        <w:rPr>
          <w:b/>
          <w:bCs/>
          <w:color w:val="14603A"/>
          <w:sz w:val="30"/>
          <w:szCs w:val="30"/>
        </w:rPr>
        <w:t xml:space="preserve">5. Évolution trimestrielle des réalisations</w:t>
      </w:r>
    </w:p>
    <w:p>
      <w:pPr>
        <w:spacing w:after="160" w:line="300"/>
      </w:pPr>
      <w:r>
        <w:rPr>
          <w:b w:val="false"/>
          <w:bCs w:val="false"/>
          <w:i w:val="false"/>
          <w:iCs w:val="false"/>
          <w:color w:val="161F19"/>
          <w:sz w:val="21"/>
          <w:szCs w:val="21"/>
        </w:rPr>
        <w:t xml:space="preserve">Le tableau ci-dessous retrace la progression trimestrielle du nombre de ménages atteints depuis le lancement du projet. La croissance a été particulièrement marquée au 3ᵉ trimestre 2023 (démarrage des activités de masse) et au 2ᵉ trimestre 2024 (campagne de distribution d'intrants et de sensibilisation la plus intense du projet).</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2020"/>
        <w:gridCol w:w="2500"/>
        <w:gridCol w:w="2500"/>
        <w:gridCol w:w="2000"/>
      </w:tblGrid>
      <w:tr>
        <w:trPr>
          <w:tblHeader/>
        </w:trPr>
        <w:tc>
          <w:tcPr>
            <w:tcW w:type="dxa" w:w="2020"/>
            <w:shd w:fill="1D7A4C" w:val="clear"/>
            <w:tcMar>
              <w:top w:type="dxa" w:w="90"/>
              <w:left w:type="dxa" w:w="120"/>
              <w:bottom w:type="dxa" w:w="90"/>
              <w:right w:type="dxa" w:w="120"/>
            </w:tcMar>
            <w:vAlign w:val="center"/>
          </w:tcPr>
          <w:p>
            <w:pPr>
              <w:jc w:val="left"/>
            </w:pPr>
            <w:r>
              <w:rPr>
                <w:b/>
                <w:bCs/>
                <w:color w:val="FFFFFF"/>
                <w:sz w:val="17"/>
                <w:szCs w:val="17"/>
              </w:rPr>
              <w:t xml:space="preserve">Trimestre</w:t>
            </w:r>
          </w:p>
        </w:tc>
        <w:tc>
          <w:tcPr>
            <w:tcW w:type="dxa" w:w="2500"/>
            <w:shd w:fill="1D7A4C" w:val="clear"/>
            <w:tcMar>
              <w:top w:type="dxa" w:w="90"/>
              <w:left w:type="dxa" w:w="120"/>
              <w:bottom w:type="dxa" w:w="90"/>
              <w:right w:type="dxa" w:w="120"/>
            </w:tcMar>
            <w:vAlign w:val="center"/>
          </w:tcPr>
          <w:p>
            <w:pPr>
              <w:jc w:val="right"/>
            </w:pPr>
            <w:r>
              <w:rPr>
                <w:b/>
                <w:bCs/>
                <w:color w:val="FFFFFF"/>
                <w:sz w:val="17"/>
                <w:szCs w:val="17"/>
              </w:rPr>
              <w:t xml:space="preserve">Nouveaux ménages</w:t>
            </w:r>
          </w:p>
        </w:tc>
        <w:tc>
          <w:tcPr>
            <w:tcW w:type="dxa" w:w="2500"/>
            <w:shd w:fill="1D7A4C" w:val="clear"/>
            <w:tcMar>
              <w:top w:type="dxa" w:w="90"/>
              <w:left w:type="dxa" w:w="120"/>
              <w:bottom w:type="dxa" w:w="90"/>
              <w:right w:type="dxa" w:w="120"/>
            </w:tcMar>
            <w:vAlign w:val="center"/>
          </w:tcPr>
          <w:p>
            <w:pPr>
              <w:jc w:val="right"/>
            </w:pPr>
            <w:r>
              <w:rPr>
                <w:b/>
                <w:bCs/>
                <w:color w:val="FFFFFF"/>
                <w:sz w:val="17"/>
                <w:szCs w:val="17"/>
              </w:rPr>
              <w:t xml:space="preserve">Cumul</w:t>
            </w:r>
          </w:p>
        </w:tc>
        <w:tc>
          <w:tcPr>
            <w:tcW w:type="dxa" w:w="2000"/>
            <w:shd w:fill="1D7A4C" w:val="clear"/>
            <w:tcMar>
              <w:top w:type="dxa" w:w="90"/>
              <w:left w:type="dxa" w:w="120"/>
              <w:bottom w:type="dxa" w:w="90"/>
              <w:right w:type="dxa" w:w="120"/>
            </w:tcMar>
            <w:vAlign w:val="center"/>
          </w:tcPr>
          <w:p>
            <w:pPr>
              <w:jc w:val="right"/>
            </w:pPr>
            <w:r>
              <w:rPr>
                <w:b/>
                <w:bCs/>
                <w:color w:val="FFFFFF"/>
                <w:sz w:val="17"/>
                <w:szCs w:val="17"/>
              </w:rPr>
              <w:t xml:space="preserve">% du total</w:t>
            </w:r>
          </w:p>
        </w:tc>
      </w:tr>
      <w:tr>
        <w:tc>
          <w:tcPr>
            <w:tcW w:type="dxa" w:w="2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2023 T2</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361</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361</w:t>
            </w:r>
          </w:p>
        </w:tc>
        <w:tc>
          <w:tcPr>
            <w:tcW w:type="dxa" w:w="2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0,1 %</w:t>
            </w:r>
          </w:p>
        </w:tc>
      </w:tr>
      <w:tr>
        <w:tc>
          <w:tcPr>
            <w:tcW w:type="dxa" w:w="2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2023 T3</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57 393</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57 754</w:t>
            </w:r>
          </w:p>
        </w:tc>
        <w:tc>
          <w:tcPr>
            <w:tcW w:type="dxa" w:w="2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22,1 %</w:t>
            </w:r>
          </w:p>
        </w:tc>
      </w:tr>
      <w:tr>
        <w:tc>
          <w:tcPr>
            <w:tcW w:type="dxa" w:w="2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2023 T4</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43 235</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100 989</w:t>
            </w:r>
          </w:p>
        </w:tc>
        <w:tc>
          <w:tcPr>
            <w:tcW w:type="dxa" w:w="2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38,6 %</w:t>
            </w:r>
          </w:p>
        </w:tc>
      </w:tr>
      <w:tr>
        <w:tc>
          <w:tcPr>
            <w:tcW w:type="dxa" w:w="2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2024 T1</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10 148</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111 137</w:t>
            </w:r>
          </w:p>
        </w:tc>
        <w:tc>
          <w:tcPr>
            <w:tcW w:type="dxa" w:w="2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42,5 %</w:t>
            </w:r>
          </w:p>
        </w:tc>
      </w:tr>
      <w:tr>
        <w:tc>
          <w:tcPr>
            <w:tcW w:type="dxa" w:w="2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2024 T2</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78 082</w:t>
            </w:r>
          </w:p>
        </w:tc>
        <w:tc>
          <w:tcPr>
            <w:tcW w:type="dxa" w:w="25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189 219</w:t>
            </w:r>
          </w:p>
        </w:tc>
        <w:tc>
          <w:tcPr>
            <w:tcW w:type="dxa" w:w="2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72,3 %</w:t>
            </w:r>
          </w:p>
        </w:tc>
      </w:tr>
      <w:tr>
        <w:tc>
          <w:tcPr>
            <w:tcW w:type="dxa" w:w="2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2024 T3</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18 297</w:t>
            </w:r>
          </w:p>
        </w:tc>
        <w:tc>
          <w:tcPr>
            <w:tcW w:type="dxa" w:w="25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207 516</w:t>
            </w:r>
          </w:p>
        </w:tc>
        <w:tc>
          <w:tcPr>
            <w:tcW w:type="dxa" w:w="2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79,3 %</w:t>
            </w:r>
          </w:p>
        </w:tc>
      </w:tr>
      <w:tr>
        <w:tc>
          <w:tcPr>
            <w:tcW w:type="dxa" w:w="2020"/>
            <w:shd w:fill="FFFFFF" w:val="clear"/>
            <w:tcMar>
              <w:top w:type="dxa" w:w="70"/>
              <w:left w:type="dxa" w:w="120"/>
              <w:bottom w:type="dxa" w:w="70"/>
              <w:right w:type="dxa" w:w="120"/>
            </w:tcMar>
            <w:vAlign w:val="center"/>
          </w:tcPr>
          <w:p>
            <w:pPr>
              <w:jc w:val="left"/>
            </w:pPr>
            <w:r>
              <w:rPr>
                <w:b/>
                <w:bCs/>
                <w:color w:val="161F19"/>
                <w:sz w:val="18"/>
                <w:szCs w:val="18"/>
              </w:rPr>
              <w:t xml:space="preserve">2024 T4</w:t>
            </w:r>
          </w:p>
        </w:tc>
        <w:tc>
          <w:tcPr>
            <w:tcW w:type="dxa" w:w="2500"/>
            <w:shd w:fill="FFFFFF" w:val="clear"/>
            <w:tcMar>
              <w:top w:type="dxa" w:w="70"/>
              <w:left w:type="dxa" w:w="120"/>
              <w:bottom w:type="dxa" w:w="70"/>
              <w:right w:type="dxa" w:w="120"/>
            </w:tcMar>
            <w:vAlign w:val="center"/>
          </w:tcPr>
          <w:p>
            <w:pPr>
              <w:jc w:val="right"/>
            </w:pPr>
            <w:r>
              <w:rPr>
                <w:b/>
                <w:bCs/>
                <w:color w:val="161F19"/>
                <w:sz w:val="18"/>
                <w:szCs w:val="18"/>
              </w:rPr>
              <w:t xml:space="preserve">54 249</w:t>
            </w:r>
          </w:p>
        </w:tc>
        <w:tc>
          <w:tcPr>
            <w:tcW w:type="dxa" w:w="2500"/>
            <w:shd w:fill="FFFFFF" w:val="clear"/>
            <w:tcMar>
              <w:top w:type="dxa" w:w="70"/>
              <w:left w:type="dxa" w:w="120"/>
              <w:bottom w:type="dxa" w:w="70"/>
              <w:right w:type="dxa" w:w="120"/>
            </w:tcMar>
            <w:vAlign w:val="center"/>
          </w:tcPr>
          <w:p>
            <w:pPr>
              <w:jc w:val="right"/>
            </w:pPr>
            <w:r>
              <w:rPr>
                <w:b/>
                <w:bCs/>
                <w:color w:val="161F19"/>
                <w:sz w:val="18"/>
                <w:szCs w:val="18"/>
              </w:rPr>
              <w:t xml:space="preserve">261 765</w:t>
            </w:r>
          </w:p>
        </w:tc>
        <w:tc>
          <w:tcPr>
            <w:tcW w:type="dxa" w:w="2000"/>
            <w:shd w:fill="FFFFFF" w:val="clear"/>
            <w:tcMar>
              <w:top w:type="dxa" w:w="70"/>
              <w:left w:type="dxa" w:w="120"/>
              <w:bottom w:type="dxa" w:w="70"/>
              <w:right w:type="dxa" w:w="120"/>
            </w:tcMar>
            <w:vAlign w:val="center"/>
          </w:tcPr>
          <w:p>
            <w:pPr>
              <w:jc w:val="right"/>
            </w:pPr>
            <w:r>
              <w:rPr>
                <w:b/>
                <w:bCs/>
                <w:color w:val="161F19"/>
                <w:sz w:val="18"/>
                <w:szCs w:val="18"/>
              </w:rPr>
              <w:t xml:space="preserve">100,0 %</w:t>
            </w:r>
          </w:p>
        </w:tc>
      </w:tr>
    </w:tbl>
    <w:p>
      <w:pPr>
        <w:spacing w:after="200"/>
      </w:pPr>
      <w:r>
        <w:rPr>
          <w:i/>
          <w:iCs/>
          <w:color w:val="8A9089"/>
          <w:sz w:val="18"/>
          <w:szCs w:val="18"/>
        </w:rPr>
        <w:t xml:space="preserve">Le lot de données « 1er trimestre 2025 » n'était pas disponible dans les fichiers sources transmis pour cette analyse. Le cumul arrêté à fin décembre 2024 (261 765) couvre néanmoins 99,9996 % du chiffre officiel communiqué pour la clôture du projet au 31 mars 2025, ce qui suggère que la croissance nette des ménages sur le 1er trimestre 2025 a été marginale.</w:t>
      </w:r>
    </w:p>
    <w:p>
      <w:pPr>
        <w:pStyle w:val="Heading1"/>
        <w:pBdr>
          <w:bottom w:val="single" w:color="1D7A4C" w:sz="6" w:space="6"/>
        </w:pBdr>
        <w:spacing w:after="200" w:before="420"/>
      </w:pPr>
      <w:r>
        <w:rPr>
          <w:b/>
          <w:bCs/>
          <w:color w:val="14603A"/>
          <w:sz w:val="30"/>
          <w:szCs w:val="30"/>
        </w:rPr>
        <w:t xml:space="preserve">6. Profil des ménages et participants atteints</w:t>
      </w:r>
    </w:p>
    <w:p>
      <w:pPr>
        <w:pStyle w:val="Heading2"/>
        <w:spacing w:after="140" w:before="320"/>
      </w:pPr>
      <w:r>
        <w:rPr>
          <w:b/>
          <w:bCs/>
          <w:color w:val="161F19"/>
          <w:sz w:val="24"/>
          <w:szCs w:val="24"/>
        </w:rPr>
        <w:t xml:space="preserve">6.1 Répartition par genre</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2900"/>
        <w:gridCol w:w="28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Genre</w:t>
            </w:r>
          </w:p>
        </w:tc>
        <w:tc>
          <w:tcPr>
            <w:tcW w:type="dxa" w:w="2900"/>
            <w:shd w:fill="1D7A4C" w:val="clear"/>
            <w:tcMar>
              <w:top w:type="dxa" w:w="90"/>
              <w:left w:type="dxa" w:w="120"/>
              <w:bottom w:type="dxa" w:w="90"/>
              <w:right w:type="dxa" w:w="120"/>
            </w:tcMar>
            <w:vAlign w:val="center"/>
          </w:tcPr>
          <w:p>
            <w:pPr>
              <w:jc w:val="right"/>
            </w:pPr>
            <w:r>
              <w:rPr>
                <w:b/>
                <w:bCs/>
                <w:color w:val="FFFFFF"/>
                <w:sz w:val="17"/>
                <w:szCs w:val="17"/>
              </w:rPr>
              <w:t xml:space="preserve">Ménages</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Femmes</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141 537</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54,1 %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Hommes</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120 228</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45,9 %</w:t>
            </w:r>
          </w:p>
        </w:tc>
      </w:tr>
    </w:tbl>
    <w:p>
      <w:pPr>
        <w:spacing w:after="200"/>
      </w:pPr>
      <w:r>
        <w:rPr>
          <w:i/>
          <w:iCs/>
          <w:color w:val="8A9089"/>
          <w:sz w:val="18"/>
          <w:szCs w:val="18"/>
        </w:rPr>
        <w:t xml:space="preserve">La part des femmes (54,1 %) est conforme à la cible de représentation équilibrée du projet (40–60 %) et témoigne d'un ciblage effectif des femmes exploitantes, cohérent avec les indicateurs officiels du projet (54 % au 31 mars 2025).</w:t>
      </w:r>
    </w:p>
    <w:p>
      <w:pPr>
        <w:pStyle w:val="Heading2"/>
        <w:spacing w:after="140" w:before="320"/>
      </w:pPr>
      <w:r>
        <w:rPr>
          <w:b/>
          <w:bCs/>
          <w:color w:val="161F19"/>
          <w:sz w:val="24"/>
          <w:szCs w:val="24"/>
        </w:rPr>
        <w:t xml:space="preserve">6.2 Répartition par âge</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2900"/>
        <w:gridCol w:w="28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Tranche d'âge</w:t>
            </w:r>
          </w:p>
        </w:tc>
        <w:tc>
          <w:tcPr>
            <w:tcW w:type="dxa" w:w="2900"/>
            <w:shd w:fill="1D7A4C" w:val="clear"/>
            <w:tcMar>
              <w:top w:type="dxa" w:w="90"/>
              <w:left w:type="dxa" w:w="120"/>
              <w:bottom w:type="dxa" w:w="90"/>
              <w:right w:type="dxa" w:w="120"/>
            </w:tcMar>
            <w:vAlign w:val="center"/>
          </w:tcPr>
          <w:p>
            <w:pPr>
              <w:jc w:val="right"/>
            </w:pPr>
            <w:r>
              <w:rPr>
                <w:b/>
                <w:bCs/>
                <w:color w:val="FFFFFF"/>
                <w:sz w:val="17"/>
                <w:szCs w:val="17"/>
              </w:rPr>
              <w:t xml:space="preserve">Ménages</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15–29 ans (jeunes)</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59 415</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22,7 %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30 ans et plus</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202 350</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77,3 %</w:t>
            </w:r>
          </w:p>
        </w:tc>
      </w:tr>
    </w:tbl>
    <w:p>
      <w:pPr>
        <w:pStyle w:val="Heading2"/>
        <w:spacing w:after="140" w:before="320"/>
      </w:pPr>
      <w:r>
        <w:rPr>
          <w:b/>
          <w:bCs/>
          <w:color w:val="161F19"/>
          <w:sz w:val="24"/>
          <w:szCs w:val="24"/>
        </w:rPr>
        <w:t xml:space="preserve">6.3 Croisement âge × genre</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2900"/>
        <w:gridCol w:w="28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Segment</w:t>
            </w:r>
          </w:p>
        </w:tc>
        <w:tc>
          <w:tcPr>
            <w:tcW w:type="dxa" w:w="2900"/>
            <w:shd w:fill="1D7A4C" w:val="clear"/>
            <w:tcMar>
              <w:top w:type="dxa" w:w="90"/>
              <w:left w:type="dxa" w:w="120"/>
              <w:bottom w:type="dxa" w:w="90"/>
              <w:right w:type="dxa" w:w="120"/>
            </w:tcMar>
            <w:vAlign w:val="center"/>
          </w:tcPr>
          <w:p>
            <w:pPr>
              <w:jc w:val="right"/>
            </w:pPr>
            <w:r>
              <w:rPr>
                <w:b/>
                <w:bCs/>
                <w:color w:val="FFFFFF"/>
                <w:sz w:val="17"/>
                <w:szCs w:val="17"/>
              </w:rPr>
              <w:t xml:space="preserve">Femmes</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Hommes</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15–29 ans</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37 340</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22 075</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30 ans et plus</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104 197</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98 153</w:t>
            </w:r>
          </w:p>
        </w:tc>
      </w:tr>
    </w:tbl>
    <w:p>
      <w:pPr>
        <w:pStyle w:val="Heading2"/>
        <w:spacing w:after="140" w:before="320"/>
      </w:pPr>
      <w:r>
        <w:rPr>
          <w:b/>
          <w:bCs/>
          <w:color w:val="161F19"/>
          <w:sz w:val="24"/>
          <w:szCs w:val="24"/>
        </w:rPr>
        <w:t xml:space="preserve">6.4 Type de participant</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4900"/>
        <w:gridCol w:w="2160"/>
        <w:gridCol w:w="1960"/>
      </w:tblGrid>
      <w:tr>
        <w:trPr>
          <w:tblHeader/>
        </w:trPr>
        <w:tc>
          <w:tcPr>
            <w:tcW w:type="dxa" w:w="4900"/>
            <w:shd w:fill="1D7A4C" w:val="clear"/>
            <w:tcMar>
              <w:top w:type="dxa" w:w="90"/>
              <w:left w:type="dxa" w:w="120"/>
              <w:bottom w:type="dxa" w:w="90"/>
              <w:right w:type="dxa" w:w="120"/>
            </w:tcMar>
            <w:vAlign w:val="center"/>
          </w:tcPr>
          <w:p>
            <w:pPr>
              <w:jc w:val="left"/>
            </w:pPr>
            <w:r>
              <w:rPr>
                <w:b/>
                <w:bCs/>
                <w:color w:val="FFFFFF"/>
                <w:sz w:val="17"/>
                <w:szCs w:val="17"/>
              </w:rPr>
              <w:t xml:space="preserve">Type de participant</w:t>
            </w:r>
          </w:p>
        </w:tc>
        <w:tc>
          <w:tcPr>
            <w:tcW w:type="dxa" w:w="2160"/>
            <w:shd w:fill="1D7A4C" w:val="clear"/>
            <w:tcMar>
              <w:top w:type="dxa" w:w="90"/>
              <w:left w:type="dxa" w:w="120"/>
              <w:bottom w:type="dxa" w:w="90"/>
              <w:right w:type="dxa" w:w="120"/>
            </w:tcMar>
            <w:vAlign w:val="center"/>
          </w:tcPr>
          <w:p>
            <w:pPr>
              <w:jc w:val="right"/>
            </w:pPr>
            <w:r>
              <w:rPr>
                <w:b/>
                <w:bCs/>
                <w:color w:val="FFFFFF"/>
                <w:sz w:val="17"/>
                <w:szCs w:val="17"/>
              </w:rPr>
              <w:t xml:space="preserve">Effectif</w:t>
            </w:r>
          </w:p>
        </w:tc>
        <w:tc>
          <w:tcPr>
            <w:tcW w:type="dxa" w:w="196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4900"/>
            <w:shd w:fill="FFFFFF" w:val="clear"/>
            <w:tcMar>
              <w:top w:type="dxa" w:w="70"/>
              <w:left w:type="dxa" w:w="120"/>
              <w:bottom w:type="dxa" w:w="70"/>
              <w:right w:type="dxa" w:w="120"/>
            </w:tcMar>
            <w:vAlign w:val="center"/>
          </w:tcPr>
          <w:p>
            <w:pPr>
              <w:jc w:val="left"/>
            </w:pPr>
            <w:r>
              <w:rPr>
                <w:color w:val="161F19"/>
                <w:sz w:val="18"/>
                <w:szCs w:val="18"/>
              </w:rPr>
              <w:t xml:space="preserve">Exploitants agricoles (Farmers)</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252 795</w:t>
            </w:r>
          </w:p>
        </w:tc>
        <w:tc>
          <w:tcPr>
            <w:tcW w:type="dxa" w:w="1960"/>
            <w:shd w:fill="FFFFFF" w:val="clear"/>
            <w:tcMar>
              <w:top w:type="dxa" w:w="70"/>
              <w:left w:type="dxa" w:w="120"/>
              <w:bottom w:type="dxa" w:w="70"/>
              <w:right w:type="dxa" w:w="120"/>
            </w:tcMar>
            <w:vAlign w:val="center"/>
          </w:tcPr>
          <w:p>
            <w:pPr>
              <w:jc w:val="right"/>
            </w:pPr>
            <w:r>
              <w:rPr>
                <w:color w:val="161F19"/>
                <w:sz w:val="18"/>
                <w:szCs w:val="18"/>
              </w:rPr>
              <w:t xml:space="preserve">96,57 %</w:t>
            </w:r>
          </w:p>
        </w:tc>
      </w:tr>
      <w:tr>
        <w:tc>
          <w:tcPr>
            <w:tcW w:type="dxa" w:w="4900"/>
            <w:shd w:fill="F7F6F1" w:val="clear"/>
            <w:tcMar>
              <w:top w:type="dxa" w:w="70"/>
              <w:left w:type="dxa" w:w="120"/>
              <w:bottom w:type="dxa" w:w="70"/>
              <w:right w:type="dxa" w:w="120"/>
            </w:tcMar>
            <w:vAlign w:val="center"/>
          </w:tcPr>
          <w:p>
            <w:pPr>
              <w:jc w:val="left"/>
            </w:pPr>
            <w:r>
              <w:rPr>
                <w:color w:val="161F19"/>
                <w:sz w:val="18"/>
                <w:szCs w:val="18"/>
              </w:rPr>
              <w:t xml:space="preserve">Paysans relais (Lead farmers / VBA)</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8 013</w:t>
            </w:r>
          </w:p>
        </w:tc>
        <w:tc>
          <w:tcPr>
            <w:tcW w:type="dxa" w:w="1960"/>
            <w:shd w:fill="F7F6F1" w:val="clear"/>
            <w:tcMar>
              <w:top w:type="dxa" w:w="70"/>
              <w:left w:type="dxa" w:w="120"/>
              <w:bottom w:type="dxa" w:w="70"/>
              <w:right w:type="dxa" w:w="120"/>
            </w:tcMar>
            <w:vAlign w:val="center"/>
          </w:tcPr>
          <w:p>
            <w:pPr>
              <w:jc w:val="right"/>
            </w:pPr>
            <w:r>
              <w:rPr>
                <w:color w:val="161F19"/>
                <w:sz w:val="18"/>
                <w:szCs w:val="18"/>
              </w:rPr>
              <w:t xml:space="preserve">3,06 %</w:t>
            </w:r>
          </w:p>
        </w:tc>
      </w:tr>
      <w:tr>
        <w:tc>
          <w:tcPr>
            <w:tcW w:type="dxa" w:w="4900"/>
            <w:shd w:fill="FFFFFF" w:val="clear"/>
            <w:tcMar>
              <w:top w:type="dxa" w:w="70"/>
              <w:left w:type="dxa" w:w="120"/>
              <w:bottom w:type="dxa" w:w="70"/>
              <w:right w:type="dxa" w:w="120"/>
            </w:tcMar>
            <w:vAlign w:val="center"/>
          </w:tcPr>
          <w:p>
            <w:pPr>
              <w:jc w:val="left"/>
            </w:pPr>
            <w:r>
              <w:rPr>
                <w:color w:val="161F19"/>
                <w:sz w:val="18"/>
                <w:szCs w:val="18"/>
              </w:rPr>
              <w:t xml:space="preserve">Personnel ONG</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345</w:t>
            </w:r>
          </w:p>
        </w:tc>
        <w:tc>
          <w:tcPr>
            <w:tcW w:type="dxa" w:w="1960"/>
            <w:shd w:fill="FFFFFF" w:val="clear"/>
            <w:tcMar>
              <w:top w:type="dxa" w:w="70"/>
              <w:left w:type="dxa" w:w="120"/>
              <w:bottom w:type="dxa" w:w="70"/>
              <w:right w:type="dxa" w:w="120"/>
            </w:tcMar>
            <w:vAlign w:val="center"/>
          </w:tcPr>
          <w:p>
            <w:pPr>
              <w:jc w:val="right"/>
            </w:pPr>
            <w:r>
              <w:rPr>
                <w:color w:val="161F19"/>
                <w:sz w:val="18"/>
                <w:szCs w:val="18"/>
              </w:rPr>
              <w:t xml:space="preserve">0,13 %</w:t>
            </w:r>
          </w:p>
        </w:tc>
      </w:tr>
      <w:tr>
        <w:tc>
          <w:tcPr>
            <w:tcW w:type="dxa" w:w="4900"/>
            <w:shd w:fill="F7F6F1" w:val="clear"/>
            <w:tcMar>
              <w:top w:type="dxa" w:w="70"/>
              <w:left w:type="dxa" w:w="120"/>
              <w:bottom w:type="dxa" w:w="70"/>
              <w:right w:type="dxa" w:w="120"/>
            </w:tcMar>
            <w:vAlign w:val="center"/>
          </w:tcPr>
          <w:p>
            <w:pPr>
              <w:jc w:val="left"/>
            </w:pPr>
            <w:r>
              <w:rPr>
                <w:color w:val="161F19"/>
                <w:sz w:val="18"/>
                <w:szCs w:val="18"/>
              </w:rPr>
              <w:t xml:space="preserve">Agents des services publics d'encadrement</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318</w:t>
            </w:r>
          </w:p>
        </w:tc>
        <w:tc>
          <w:tcPr>
            <w:tcW w:type="dxa" w:w="1960"/>
            <w:shd w:fill="F7F6F1" w:val="clear"/>
            <w:tcMar>
              <w:top w:type="dxa" w:w="70"/>
              <w:left w:type="dxa" w:w="120"/>
              <w:bottom w:type="dxa" w:w="70"/>
              <w:right w:type="dxa" w:w="120"/>
            </w:tcMar>
            <w:vAlign w:val="center"/>
          </w:tcPr>
          <w:p>
            <w:pPr>
              <w:jc w:val="right"/>
            </w:pPr>
            <w:r>
              <w:rPr>
                <w:color w:val="161F19"/>
                <w:sz w:val="18"/>
                <w:szCs w:val="18"/>
              </w:rPr>
              <w:t xml:space="preserve">0,12 %</w:t>
            </w:r>
          </w:p>
        </w:tc>
      </w:tr>
      <w:tr>
        <w:tc>
          <w:tcPr>
            <w:tcW w:type="dxa" w:w="4900"/>
            <w:shd w:fill="FFFFFF" w:val="clear"/>
            <w:tcMar>
              <w:top w:type="dxa" w:w="70"/>
              <w:left w:type="dxa" w:w="120"/>
              <w:bottom w:type="dxa" w:w="70"/>
              <w:right w:type="dxa" w:w="120"/>
            </w:tcMar>
            <w:vAlign w:val="center"/>
          </w:tcPr>
          <w:p>
            <w:pPr>
              <w:jc w:val="left"/>
            </w:pPr>
            <w:r>
              <w:rPr>
                <w:color w:val="161F19"/>
                <w:sz w:val="18"/>
                <w:szCs w:val="18"/>
              </w:rPr>
              <w:t xml:space="preserve">Personnel d'organisations privées</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294</w:t>
            </w:r>
          </w:p>
        </w:tc>
        <w:tc>
          <w:tcPr>
            <w:tcW w:type="dxa" w:w="1960"/>
            <w:shd w:fill="FFFFFF" w:val="clear"/>
            <w:tcMar>
              <w:top w:type="dxa" w:w="70"/>
              <w:left w:type="dxa" w:w="120"/>
              <w:bottom w:type="dxa" w:w="70"/>
              <w:right w:type="dxa" w:w="120"/>
            </w:tcMar>
            <w:vAlign w:val="center"/>
          </w:tcPr>
          <w:p>
            <w:pPr>
              <w:jc w:val="right"/>
            </w:pPr>
            <w:r>
              <w:rPr>
                <w:color w:val="161F19"/>
                <w:sz w:val="18"/>
                <w:szCs w:val="18"/>
              </w:rPr>
              <w:t xml:space="preserve">0,11 %</w:t>
            </w:r>
          </w:p>
        </w:tc>
      </w:tr>
    </w:tbl>
    <w:p>
      <w:pPr>
        <w:pStyle w:val="Heading1"/>
        <w:pBdr>
          <w:bottom w:val="single" w:color="1D7A4C" w:sz="6" w:space="6"/>
        </w:pBdr>
        <w:spacing w:after="200" w:before="420"/>
      </w:pPr>
      <w:r>
        <w:rPr>
          <w:b/>
          <w:bCs/>
          <w:color w:val="14603A"/>
          <w:sz w:val="30"/>
          <w:szCs w:val="30"/>
        </w:rPr>
        <w:t xml:space="preserve">7. Couverture géographique</w:t>
      </w:r>
    </w:p>
    <w:p>
      <w:pPr>
        <w:spacing w:after="160" w:line="300"/>
      </w:pPr>
      <w:r>
        <w:rPr>
          <w:b w:val="false"/>
          <w:bCs w:val="false"/>
          <w:i w:val="false"/>
          <w:iCs w:val="false"/>
          <w:color w:val="161F19"/>
          <w:sz w:val="21"/>
          <w:szCs w:val="21"/>
        </w:rPr>
        <w:t xml:space="preserve">Les activités couvrent 7 territoires de la province du Sud-Kivu. Le territoire d'Uvira concentre à lui seul plus d'un tiers des ménages touchés ; Kalehe, Walungu et Kabare forment ensemble un second groupe de territoires à forte couverture.</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2900"/>
        <w:gridCol w:w="28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Territoire</w:t>
            </w:r>
          </w:p>
        </w:tc>
        <w:tc>
          <w:tcPr>
            <w:tcW w:type="dxa" w:w="2900"/>
            <w:shd w:fill="1D7A4C" w:val="clear"/>
            <w:tcMar>
              <w:top w:type="dxa" w:w="90"/>
              <w:left w:type="dxa" w:w="120"/>
              <w:bottom w:type="dxa" w:w="90"/>
              <w:right w:type="dxa" w:w="120"/>
            </w:tcMar>
            <w:vAlign w:val="center"/>
          </w:tcPr>
          <w:p>
            <w:pPr>
              <w:jc w:val="right"/>
            </w:pPr>
            <w:r>
              <w:rPr>
                <w:b/>
                <w:bCs/>
                <w:color w:val="FFFFFF"/>
                <w:sz w:val="17"/>
                <w:szCs w:val="17"/>
              </w:rPr>
              <w:t xml:space="preserve">Ménages atteints</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Uvira</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88 619</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33,9 %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Kalehe</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51 841</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19,8 %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Walungu</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50 501</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19,3 %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Kabare</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46 285</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17,7 %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Mwenga</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13 725</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5,2 %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Idjwi</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10 277</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3,9 %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Fizi</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517</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0,2 %</w:t>
            </w:r>
          </w:p>
        </w:tc>
      </w:tr>
    </w:tbl>
    <w:p>
      <w:pPr>
        <w:pStyle w:val="Heading1"/>
        <w:pBdr>
          <w:bottom w:val="single" w:color="1D7A4C" w:sz="6" w:space="6"/>
        </w:pBdr>
        <w:spacing w:after="200" w:before="420"/>
      </w:pPr>
      <w:r>
        <w:rPr>
          <w:b/>
          <w:bCs/>
          <w:color w:val="14603A"/>
          <w:sz w:val="30"/>
          <w:szCs w:val="30"/>
        </w:rPr>
        <w:t xml:space="preserve">8. Partenaires de mise en œuvre</w:t>
      </w:r>
    </w:p>
    <w:p>
      <w:pPr>
        <w:spacing w:after="160" w:line="300"/>
      </w:pPr>
      <w:r>
        <w:rPr>
          <w:b w:val="false"/>
          <w:bCs w:val="false"/>
          <w:i w:val="false"/>
          <w:iCs w:val="false"/>
          <w:color w:val="161F19"/>
          <w:sz w:val="21"/>
          <w:szCs w:val="21"/>
        </w:rPr>
        <w:t xml:space="preserve">Trois partenaires principaux se partagent la mise en œuvre des activités de terrain auprès des ménages ; les centres CGIAR (IITA, WorldVeg, CIAT, CIP, Seed Systems Group) interviennent en appui technique sur un volume plus restreint d'activités directes.</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4300"/>
        <w:gridCol w:w="2560"/>
        <w:gridCol w:w="2160"/>
      </w:tblGrid>
      <w:tr>
        <w:trPr>
          <w:tblHeader/>
        </w:trPr>
        <w:tc>
          <w:tcPr>
            <w:tcW w:type="dxa" w:w="4300"/>
            <w:shd w:fill="1D7A4C" w:val="clear"/>
            <w:tcMar>
              <w:top w:type="dxa" w:w="90"/>
              <w:left w:type="dxa" w:w="120"/>
              <w:bottom w:type="dxa" w:w="90"/>
              <w:right w:type="dxa" w:w="120"/>
            </w:tcMar>
            <w:vAlign w:val="center"/>
          </w:tcPr>
          <w:p>
            <w:pPr>
              <w:jc w:val="left"/>
            </w:pPr>
            <w:r>
              <w:rPr>
                <w:b/>
                <w:bCs/>
                <w:color w:val="FFFFFF"/>
                <w:sz w:val="17"/>
                <w:szCs w:val="17"/>
              </w:rPr>
              <w:t xml:space="preserve">Partenaire</w:t>
            </w:r>
          </w:p>
        </w:tc>
        <w:tc>
          <w:tcPr>
            <w:tcW w:type="dxa" w:w="2560"/>
            <w:shd w:fill="1D7A4C" w:val="clear"/>
            <w:tcMar>
              <w:top w:type="dxa" w:w="90"/>
              <w:left w:type="dxa" w:w="120"/>
              <w:bottom w:type="dxa" w:w="90"/>
              <w:right w:type="dxa" w:w="120"/>
            </w:tcMar>
            <w:vAlign w:val="center"/>
          </w:tcPr>
          <w:p>
            <w:pPr>
              <w:jc w:val="right"/>
            </w:pPr>
            <w:r>
              <w:rPr>
                <w:b/>
                <w:bCs/>
                <w:color w:val="FFFFFF"/>
                <w:sz w:val="17"/>
                <w:szCs w:val="17"/>
              </w:rPr>
              <w:t xml:space="preserve">Ménages touchés</w:t>
            </w:r>
          </w:p>
        </w:tc>
        <w:tc>
          <w:tcPr>
            <w:tcW w:type="dxa" w:w="216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SARCAF</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92 353</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35,3 %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Rikolto</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88 010</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33,6 %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VSF (Vétérinaires Sans Frontières)</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78 184</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29,9 %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IITA</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2 160</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0,8 %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World Vegetable Center</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877</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0,3 %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CIAT</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80</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0,03 %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Seed Systems Group</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60</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0,02 %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CIP</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41</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0,02 %</w:t>
            </w:r>
          </w:p>
        </w:tc>
      </w:tr>
    </w:tbl>
    <w:p>
      <w:pPr>
        <w:pStyle w:val="Heading1"/>
        <w:pBdr>
          <w:bottom w:val="single" w:color="1D7A4C" w:sz="6" w:space="6"/>
        </w:pBdr>
        <w:spacing w:after="200" w:before="420"/>
      </w:pPr>
      <w:r>
        <w:rPr>
          <w:b/>
          <w:bCs/>
          <w:color w:val="14603A"/>
          <w:sz w:val="30"/>
          <w:szCs w:val="30"/>
        </w:rPr>
        <w:t xml:space="preserve">9. Filières et modalités d'intervention</w:t>
      </w:r>
    </w:p>
    <w:p>
      <w:pPr>
        <w:pStyle w:val="Heading2"/>
        <w:spacing w:after="140" w:before="320"/>
      </w:pPr>
      <w:r>
        <w:rPr>
          <w:b/>
          <w:bCs/>
          <w:color w:val="161F19"/>
          <w:sz w:val="24"/>
          <w:szCs w:val="24"/>
        </w:rPr>
        <w:t xml:space="preserve">9.1 Filières / cultures promues</w:t>
      </w:r>
    </w:p>
    <w:p>
      <w:pPr>
        <w:spacing w:after="160" w:line="300"/>
      </w:pPr>
      <w:r>
        <w:rPr>
          <w:b w:val="false"/>
          <w:bCs w:val="false"/>
          <w:i w:val="false"/>
          <w:iCs w:val="false"/>
          <w:color w:val="161F19"/>
          <w:sz w:val="21"/>
          <w:szCs w:val="21"/>
        </w:rPr>
        <w:t xml:space="preserve">Un même ménage pouvant être associé à plusieurs cultures, les valeurs ci-dessous comptabilisent des mentions de filière et non des ménages exclusifs. Le maïs et le haricot dominent largement, suivis du riz.</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2900"/>
        <w:gridCol w:w="28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Filière</w:t>
            </w:r>
          </w:p>
        </w:tc>
        <w:tc>
          <w:tcPr>
            <w:tcW w:type="dxa" w:w="2900"/>
            <w:shd w:fill="1D7A4C" w:val="clear"/>
            <w:tcMar>
              <w:top w:type="dxa" w:w="90"/>
              <w:left w:type="dxa" w:w="120"/>
              <w:bottom w:type="dxa" w:w="90"/>
              <w:right w:type="dxa" w:w="120"/>
            </w:tcMar>
            <w:vAlign w:val="center"/>
          </w:tcPr>
          <w:p>
            <w:pPr>
              <w:jc w:val="right"/>
            </w:pPr>
            <w:r>
              <w:rPr>
                <w:b/>
                <w:bCs/>
                <w:color w:val="FFFFFF"/>
                <w:sz w:val="17"/>
                <w:szCs w:val="17"/>
              </w:rPr>
              <w:t xml:space="preserve">Mentions</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Part des mentions</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Maïs</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75 897</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36,9 %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Haricot</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75 601</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36,7 %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Riz</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21 474</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10,4 %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Manioc</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11 773</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5,7 %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Patate douce (OFSP)</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7 143</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3,5 %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Fourrage</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6 323</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3,1 %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Maraîchage</w:t>
            </w:r>
          </w:p>
        </w:tc>
        <w:tc>
          <w:tcPr>
            <w:tcW w:type="dxa" w:w="2900"/>
            <w:shd w:fill="FFFFFF" w:val="clear"/>
            <w:tcMar>
              <w:top w:type="dxa" w:w="70"/>
              <w:left w:type="dxa" w:w="120"/>
              <w:bottom w:type="dxa" w:w="70"/>
              <w:right w:type="dxa" w:w="120"/>
            </w:tcMar>
            <w:vAlign w:val="center"/>
          </w:tcPr>
          <w:p>
            <w:pPr>
              <w:jc w:val="right"/>
            </w:pPr>
            <w:r>
              <w:rPr>
                <w:color w:val="161F19"/>
                <w:sz w:val="18"/>
                <w:szCs w:val="18"/>
              </w:rPr>
              <w:t xml:space="preserve">6 250</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3,0 %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Banane</w:t>
            </w:r>
          </w:p>
        </w:tc>
        <w:tc>
          <w:tcPr>
            <w:tcW w:type="dxa" w:w="2900"/>
            <w:shd w:fill="F7F6F1" w:val="clear"/>
            <w:tcMar>
              <w:top w:type="dxa" w:w="70"/>
              <w:left w:type="dxa" w:w="120"/>
              <w:bottom w:type="dxa" w:w="70"/>
              <w:right w:type="dxa" w:w="120"/>
            </w:tcMar>
            <w:vAlign w:val="center"/>
          </w:tcPr>
          <w:p>
            <w:pPr>
              <w:jc w:val="right"/>
            </w:pPr>
            <w:r>
              <w:rPr>
                <w:color w:val="161F19"/>
                <w:sz w:val="18"/>
                <w:szCs w:val="18"/>
              </w:rPr>
              <w:t xml:space="preserve">1 468</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0,7 %</w:t>
            </w:r>
          </w:p>
        </w:tc>
      </w:tr>
    </w:tbl>
    <w:p>
      <w:pPr>
        <w:pStyle w:val="Heading2"/>
        <w:spacing w:after="140" w:before="320"/>
      </w:pPr>
      <w:r>
        <w:rPr>
          <w:b/>
          <w:bCs/>
          <w:color w:val="161F19"/>
          <w:sz w:val="24"/>
          <w:szCs w:val="24"/>
        </w:rPr>
        <w:t xml:space="preserve">9.2 Modalités de contact avec les ménages</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4300"/>
        <w:gridCol w:w="2560"/>
        <w:gridCol w:w="2160"/>
      </w:tblGrid>
      <w:tr>
        <w:trPr>
          <w:tblHeader/>
        </w:trPr>
        <w:tc>
          <w:tcPr>
            <w:tcW w:type="dxa" w:w="4300"/>
            <w:shd w:fill="1D7A4C" w:val="clear"/>
            <w:tcMar>
              <w:top w:type="dxa" w:w="90"/>
              <w:left w:type="dxa" w:w="120"/>
              <w:bottom w:type="dxa" w:w="90"/>
              <w:right w:type="dxa" w:w="120"/>
            </w:tcMar>
            <w:vAlign w:val="center"/>
          </w:tcPr>
          <w:p>
            <w:pPr>
              <w:jc w:val="left"/>
            </w:pPr>
            <w:r>
              <w:rPr>
                <w:b/>
                <w:bCs/>
                <w:color w:val="FFFFFF"/>
                <w:sz w:val="17"/>
                <w:szCs w:val="17"/>
              </w:rPr>
              <w:t xml:space="preserve">Modalité</w:t>
            </w:r>
          </w:p>
        </w:tc>
        <w:tc>
          <w:tcPr>
            <w:tcW w:type="dxa" w:w="2560"/>
            <w:shd w:fill="1D7A4C" w:val="clear"/>
            <w:tcMar>
              <w:top w:type="dxa" w:w="90"/>
              <w:left w:type="dxa" w:w="120"/>
              <w:bottom w:type="dxa" w:w="90"/>
              <w:right w:type="dxa" w:w="120"/>
            </w:tcMar>
            <w:vAlign w:val="center"/>
          </w:tcPr>
          <w:p>
            <w:pPr>
              <w:jc w:val="right"/>
            </w:pPr>
            <w:r>
              <w:rPr>
                <w:b/>
                <w:bCs/>
                <w:color w:val="FFFFFF"/>
                <w:sz w:val="17"/>
                <w:szCs w:val="17"/>
              </w:rPr>
              <w:t xml:space="preserve">Occurrences</w:t>
            </w:r>
          </w:p>
        </w:tc>
        <w:tc>
          <w:tcPr>
            <w:tcW w:type="dxa" w:w="2160"/>
            <w:shd w:fill="1D7A4C" w:val="clear"/>
            <w:tcMar>
              <w:top w:type="dxa" w:w="90"/>
              <w:left w:type="dxa" w:w="120"/>
              <w:bottom w:type="dxa" w:w="90"/>
              <w:right w:type="dxa" w:w="120"/>
            </w:tcMar>
            <w:vAlign w:val="center"/>
          </w:tcPr>
          <w:p>
            <w:pPr>
              <w:jc w:val="right"/>
            </w:pPr>
            <w:r>
              <w:rPr>
                <w:b/>
                <w:bCs/>
                <w:color w:val="FFFFFF"/>
                <w:sz w:val="17"/>
                <w:szCs w:val="17"/>
              </w:rPr>
              <w:t xml:space="preserve">Part</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Distribution d'intrants</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128 650</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49,2 %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Sensibilisation</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63 484</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24,2 %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Distribution + sensibilisation combinées</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44 389</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17,0 %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Formation</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15 678</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6,0 %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Journée de démonstration en champ</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4 695</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1,8 %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Message vocal interactif (IVR)</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2 518</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1,0 %</w:t>
            </w:r>
          </w:p>
        </w:tc>
      </w:tr>
      <w:tr>
        <w:tc>
          <w:tcPr>
            <w:tcW w:type="dxa" w:w="4300"/>
            <w:shd w:fill="FFFFFF" w:val="clear"/>
            <w:tcMar>
              <w:top w:type="dxa" w:w="70"/>
              <w:left w:type="dxa" w:w="120"/>
              <w:bottom w:type="dxa" w:w="70"/>
              <w:right w:type="dxa" w:w="120"/>
            </w:tcMar>
            <w:vAlign w:val="center"/>
          </w:tcPr>
          <w:p>
            <w:pPr>
              <w:jc w:val="left"/>
            </w:pPr>
            <w:r>
              <w:rPr>
                <w:color w:val="161F19"/>
                <w:sz w:val="18"/>
                <w:szCs w:val="18"/>
              </w:rPr>
              <w:t xml:space="preserve">Formation démonstrative</w:t>
            </w:r>
          </w:p>
        </w:tc>
        <w:tc>
          <w:tcPr>
            <w:tcW w:type="dxa" w:w="2560"/>
            <w:shd w:fill="FFFFFF" w:val="clear"/>
            <w:tcMar>
              <w:top w:type="dxa" w:w="70"/>
              <w:left w:type="dxa" w:w="120"/>
              <w:bottom w:type="dxa" w:w="70"/>
              <w:right w:type="dxa" w:w="120"/>
            </w:tcMar>
            <w:vAlign w:val="center"/>
          </w:tcPr>
          <w:p>
            <w:pPr>
              <w:jc w:val="right"/>
            </w:pPr>
            <w:r>
              <w:rPr>
                <w:color w:val="161F19"/>
                <w:sz w:val="18"/>
                <w:szCs w:val="18"/>
              </w:rPr>
              <w:t xml:space="preserve">1 349</w:t>
            </w:r>
          </w:p>
        </w:tc>
        <w:tc>
          <w:tcPr>
            <w:tcW w:type="dxa" w:w="2160"/>
            <w:shd w:fill="FFFFFF" w:val="clear"/>
            <w:tcMar>
              <w:top w:type="dxa" w:w="70"/>
              <w:left w:type="dxa" w:w="120"/>
              <w:bottom w:type="dxa" w:w="70"/>
              <w:right w:type="dxa" w:w="120"/>
            </w:tcMar>
            <w:vAlign w:val="center"/>
          </w:tcPr>
          <w:p>
            <w:pPr>
              <w:jc w:val="right"/>
            </w:pPr>
            <w:r>
              <w:rPr>
                <w:color w:val="161F19"/>
                <w:sz w:val="18"/>
                <w:szCs w:val="18"/>
              </w:rPr>
              <w:t xml:space="preserve">0,5 %</w:t>
            </w:r>
          </w:p>
        </w:tc>
      </w:tr>
      <w:tr>
        <w:tc>
          <w:tcPr>
            <w:tcW w:type="dxa" w:w="4300"/>
            <w:shd w:fill="F7F6F1" w:val="clear"/>
            <w:tcMar>
              <w:top w:type="dxa" w:w="70"/>
              <w:left w:type="dxa" w:w="120"/>
              <w:bottom w:type="dxa" w:w="70"/>
              <w:right w:type="dxa" w:w="120"/>
            </w:tcMar>
            <w:vAlign w:val="center"/>
          </w:tcPr>
          <w:p>
            <w:pPr>
              <w:jc w:val="left"/>
            </w:pPr>
            <w:r>
              <w:rPr>
                <w:color w:val="161F19"/>
                <w:sz w:val="18"/>
                <w:szCs w:val="18"/>
              </w:rPr>
              <w:t xml:space="preserve">Autres combinaisons</w:t>
            </w:r>
          </w:p>
        </w:tc>
        <w:tc>
          <w:tcPr>
            <w:tcW w:type="dxa" w:w="2560"/>
            <w:shd w:fill="F7F6F1" w:val="clear"/>
            <w:tcMar>
              <w:top w:type="dxa" w:w="70"/>
              <w:left w:type="dxa" w:w="120"/>
              <w:bottom w:type="dxa" w:w="70"/>
              <w:right w:type="dxa" w:w="120"/>
            </w:tcMar>
            <w:vAlign w:val="center"/>
          </w:tcPr>
          <w:p>
            <w:pPr>
              <w:jc w:val="right"/>
            </w:pPr>
            <w:r>
              <w:rPr>
                <w:color w:val="161F19"/>
                <w:sz w:val="18"/>
                <w:szCs w:val="18"/>
              </w:rPr>
              <w:t xml:space="preserve">1 002</w:t>
            </w:r>
          </w:p>
        </w:tc>
        <w:tc>
          <w:tcPr>
            <w:tcW w:type="dxa" w:w="2160"/>
            <w:shd w:fill="F7F6F1" w:val="clear"/>
            <w:tcMar>
              <w:top w:type="dxa" w:w="70"/>
              <w:left w:type="dxa" w:w="120"/>
              <w:bottom w:type="dxa" w:w="70"/>
              <w:right w:type="dxa" w:w="120"/>
            </w:tcMar>
            <w:vAlign w:val="center"/>
          </w:tcPr>
          <w:p>
            <w:pPr>
              <w:jc w:val="right"/>
            </w:pPr>
            <w:r>
              <w:rPr>
                <w:color w:val="161F19"/>
                <w:sz w:val="18"/>
                <w:szCs w:val="18"/>
              </w:rPr>
              <w:t xml:space="preserve">0,4 %</w:t>
            </w:r>
          </w:p>
        </w:tc>
      </w:tr>
    </w:tbl>
    <w:p>
      <w:pPr>
        <w:pStyle w:val="Heading1"/>
        <w:pBdr>
          <w:bottom w:val="single" w:color="1D7A4C" w:sz="6" w:space="6"/>
        </w:pBdr>
        <w:spacing w:after="200" w:before="420"/>
      </w:pPr>
      <w:r>
        <w:rPr>
          <w:b/>
          <w:bCs/>
          <w:color w:val="14603A"/>
          <w:sz w:val="30"/>
          <w:szCs w:val="30"/>
        </w:rPr>
        <w:t xml:space="preserve">10. Analyses approfondies pour l'argumentaire bailleurs</w:t>
      </w:r>
    </w:p>
    <w:p>
      <w:pPr>
        <w:spacing w:after="160" w:line="300"/>
      </w:pPr>
      <w:r>
        <w:rPr>
          <w:b w:val="false"/>
          <w:bCs w:val="false"/>
          <w:i w:val="false"/>
          <w:iCs w:val="false"/>
          <w:color w:val="161F19"/>
          <w:sz w:val="21"/>
          <w:szCs w:val="21"/>
        </w:rPr>
        <w:t xml:space="preserve">Le volume de ménages atteints est le premier argument d'un rapport de clôture, mais les bailleurs (USAID/Feed the Future en particulier) évaluent de plus en plus la qualité, l'équité et l'efficience de la couverture. Les indicateurs suivants renforcent l'argumentaire au-delà du seul chiffre de 261 765 ménages.</w:t>
      </w:r>
    </w:p>
    <w:p>
      <w:pPr>
        <w:pStyle w:val="Heading2"/>
        <w:spacing w:after="140" w:before="320"/>
      </w:pPr>
      <w:r>
        <w:rPr>
          <w:b/>
          <w:bCs/>
          <w:color w:val="161F19"/>
          <w:sz w:val="24"/>
          <w:szCs w:val="24"/>
        </w:rPr>
        <w:t xml:space="preserve">10.1 Effet de levier du modèle d'extension (paysans relais / VBA)</w:t>
      </w:r>
    </w:p>
    <w:p>
      <w:pPr>
        <w:spacing w:after="160" w:line="300"/>
      </w:pPr>
      <w:r>
        <w:rPr>
          <w:b w:val="false"/>
          <w:bCs w:val="false"/>
          <w:i w:val="false"/>
          <w:iCs w:val="false"/>
          <w:color w:val="161F19"/>
          <w:sz w:val="21"/>
          <w:szCs w:val="21"/>
        </w:rPr>
        <w:t xml:space="preserve">Le projet s'appuie sur 8 013 paysans relais (« Lead farmers » / VBA) pour toucher 252 795 exploitants directs, soit un ratio de 31,5 exploitants pour 1 relais formé. Ce ratio situe le dispositif dans la fourchette efficiente des modèles d'extension communautaire (généralement 20 à 50 ménages par agent relais) et démontre un potentiel de pérennisation après la fin du financement, les relais restant actifs dans leur communauté.</w:t>
      </w:r>
    </w:p>
    <w:p>
      <w:pPr>
        <w:pStyle w:val="Heading2"/>
        <w:spacing w:after="140" w:before="320"/>
      </w:pPr>
      <w:r>
        <w:rPr>
          <w:b/>
          <w:bCs/>
          <w:color w:val="161F19"/>
          <w:sz w:val="24"/>
          <w:szCs w:val="24"/>
        </w:rPr>
        <w:t xml:space="preserve">10.2 Qualité et profondeur du contact</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6200"/>
        <w:gridCol w:w="2820"/>
      </w:tblGrid>
      <w:tr>
        <w:trPr>
          <w:tblHeader/>
        </w:trPr>
        <w:tc>
          <w:tcPr>
            <w:tcW w:type="dxa" w:w="6200"/>
            <w:shd w:fill="1D7A4C" w:val="clear"/>
            <w:tcMar>
              <w:top w:type="dxa" w:w="90"/>
              <w:left w:type="dxa" w:w="120"/>
              <w:bottom w:type="dxa" w:w="90"/>
              <w:right w:type="dxa" w:w="120"/>
            </w:tcMar>
            <w:vAlign w:val="center"/>
          </w:tcPr>
          <w:p>
            <w:pPr>
              <w:jc w:val="left"/>
            </w:pPr>
            <w:r>
              <w:rPr>
                <w:b/>
                <w:bCs/>
                <w:color w:val="FFFFFF"/>
                <w:sz w:val="17"/>
                <w:szCs w:val="17"/>
              </w:rPr>
              <w:t xml:space="preserve">Indicateur</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Valeur</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Ménages ayant reçu un intrant tangible (semences, engrais, vaccins…)</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173 338 (66,2 %)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Ménages touchés par sensibilisation seule (sans intrant)</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88 427 (33,8 %)</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Technologies distinctes diffusées par ménage informé (moyenne)</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1,58</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Filières distinctes par ménage rattaché à une culture (moyenne)</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1,12</w:t>
            </w:r>
          </w:p>
        </w:tc>
      </w:tr>
    </w:tbl>
    <w:p>
      <w:pPr>
        <w:spacing w:after="200"/>
      </w:pPr>
      <w:r>
        <w:rPr>
          <w:i/>
          <w:iCs/>
          <w:color w:val="8A9089"/>
          <w:sz w:val="18"/>
          <w:szCs w:val="18"/>
        </w:rPr>
        <w:t xml:space="preserve">Lecture : les deux tiers des ménages comptabilisés sont allés au-delà d'un simple contact de sensibilisation pour recevoir un appui matériel direct, ce qui distingue la portée du projet d'un simple décompte de participants à des séances d'information.</w:t>
      </w:r>
    </w:p>
    <w:p>
      <w:pPr>
        <w:pStyle w:val="Heading2"/>
        <w:spacing w:after="140" w:before="320"/>
      </w:pPr>
      <w:r>
        <w:rPr>
          <w:b/>
          <w:bCs/>
          <w:color w:val="161F19"/>
          <w:sz w:val="24"/>
          <w:szCs w:val="24"/>
        </w:rPr>
        <w:t xml:space="preserve">10.3 Équité territoriale</w:t>
      </w:r>
    </w:p>
    <w:p>
      <w:pPr>
        <w:spacing w:after="160" w:line="300"/>
      </w:pPr>
      <w:r>
        <w:rPr>
          <w:b w:val="false"/>
          <w:bCs w:val="false"/>
          <w:i w:val="false"/>
          <w:iCs w:val="false"/>
          <w:color w:val="161F19"/>
          <w:sz w:val="21"/>
          <w:szCs w:val="21"/>
        </w:rPr>
        <w:t xml:space="preserve">La moyenne projet masque des écarts significatifs entre les 7 territoires, en particulier à Uvira qui concentre le plus grand nombre de ménages mais affiche la plus faible part de femmes.</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020"/>
        <w:gridCol w:w="3000"/>
        <w:gridCol w:w="3000"/>
      </w:tblGrid>
      <w:tr>
        <w:trPr>
          <w:tblHeader/>
        </w:trPr>
        <w:tc>
          <w:tcPr>
            <w:tcW w:type="dxa" w:w="3020"/>
            <w:shd w:fill="1D7A4C" w:val="clear"/>
            <w:tcMar>
              <w:top w:type="dxa" w:w="90"/>
              <w:left w:type="dxa" w:w="120"/>
              <w:bottom w:type="dxa" w:w="90"/>
              <w:right w:type="dxa" w:w="120"/>
            </w:tcMar>
            <w:vAlign w:val="center"/>
          </w:tcPr>
          <w:p>
            <w:pPr>
              <w:jc w:val="left"/>
            </w:pPr>
            <w:r>
              <w:rPr>
                <w:b/>
                <w:bCs/>
                <w:color w:val="FFFFFF"/>
                <w:sz w:val="17"/>
                <w:szCs w:val="17"/>
              </w:rPr>
              <w:t xml:space="preserve">Territoire</w:t>
            </w:r>
          </w:p>
        </w:tc>
        <w:tc>
          <w:tcPr>
            <w:tcW w:type="dxa" w:w="3000"/>
            <w:shd w:fill="1D7A4C" w:val="clear"/>
            <w:tcMar>
              <w:top w:type="dxa" w:w="90"/>
              <w:left w:type="dxa" w:w="120"/>
              <w:bottom w:type="dxa" w:w="90"/>
              <w:right w:type="dxa" w:w="120"/>
            </w:tcMar>
            <w:vAlign w:val="center"/>
          </w:tcPr>
          <w:p>
            <w:pPr>
              <w:jc w:val="right"/>
            </w:pPr>
            <w:r>
              <w:rPr>
                <w:b/>
                <w:bCs/>
                <w:color w:val="FFFFFF"/>
                <w:sz w:val="17"/>
                <w:szCs w:val="17"/>
              </w:rPr>
              <w:t xml:space="preserve">Part des femmes</w:t>
            </w:r>
          </w:p>
        </w:tc>
        <w:tc>
          <w:tcPr>
            <w:tcW w:type="dxa" w:w="3000"/>
            <w:shd w:fill="1D7A4C" w:val="clear"/>
            <w:tcMar>
              <w:top w:type="dxa" w:w="90"/>
              <w:left w:type="dxa" w:w="120"/>
              <w:bottom w:type="dxa" w:w="90"/>
              <w:right w:type="dxa" w:w="120"/>
            </w:tcMar>
            <w:vAlign w:val="center"/>
          </w:tcPr>
          <w:p>
            <w:pPr>
              <w:jc w:val="right"/>
            </w:pPr>
            <w:r>
              <w:rPr>
                <w:b/>
                <w:bCs/>
                <w:color w:val="FFFFFF"/>
                <w:sz w:val="17"/>
                <w:szCs w:val="17"/>
              </w:rPr>
              <w:t xml:space="preserve">Part des jeunes (15-29 ans)</w:t>
            </w:r>
          </w:p>
        </w:tc>
      </w:tr>
      <w:tr>
        <w:tc>
          <w:tcPr>
            <w:tcW w:type="dxa" w:w="3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Idjwi</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66,8 %</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35,1 %</w:t>
            </w:r>
          </w:p>
        </w:tc>
      </w:tr>
      <w:tr>
        <w:tc>
          <w:tcPr>
            <w:tcW w:type="dxa" w:w="3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Mwenga</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66,7 %</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21,3 %</w:t>
            </w:r>
          </w:p>
        </w:tc>
      </w:tr>
      <w:tr>
        <w:tc>
          <w:tcPr>
            <w:tcW w:type="dxa" w:w="3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Fizi</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61,3 %</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26,1 %</w:t>
            </w:r>
          </w:p>
        </w:tc>
      </w:tr>
      <w:tr>
        <w:tc>
          <w:tcPr>
            <w:tcW w:type="dxa" w:w="3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Walungu</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56,5 %</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23,5 %</w:t>
            </w:r>
          </w:p>
        </w:tc>
      </w:tr>
      <w:tr>
        <w:tc>
          <w:tcPr>
            <w:tcW w:type="dxa" w:w="3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Kabare</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56,2 %</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18,5 %</w:t>
            </w:r>
          </w:p>
        </w:tc>
      </w:tr>
      <w:tr>
        <w:tc>
          <w:tcPr>
            <w:tcW w:type="dxa" w:w="3020"/>
            <w:shd w:fill="F7F6F1" w:val="clear"/>
            <w:tcMar>
              <w:top w:type="dxa" w:w="70"/>
              <w:left w:type="dxa" w:w="120"/>
              <w:bottom w:type="dxa" w:w="70"/>
              <w:right w:type="dxa" w:w="120"/>
            </w:tcMar>
            <w:vAlign w:val="center"/>
          </w:tcPr>
          <w:p>
            <w:pPr>
              <w:jc w:val="left"/>
            </w:pPr>
            <w:r>
              <w:rPr>
                <w:b w:val="false"/>
                <w:bCs w:val="false"/>
                <w:color w:val="161F19"/>
                <w:sz w:val="18"/>
                <w:szCs w:val="18"/>
              </w:rPr>
              <w:t xml:space="preserve">Kalehe</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56,0 %</w:t>
            </w:r>
          </w:p>
        </w:tc>
        <w:tc>
          <w:tcPr>
            <w:tcW w:type="dxa" w:w="3000"/>
            <w:shd w:fill="F7F6F1" w:val="clear"/>
            <w:tcMar>
              <w:top w:type="dxa" w:w="70"/>
              <w:left w:type="dxa" w:w="120"/>
              <w:bottom w:type="dxa" w:w="70"/>
              <w:right w:type="dxa" w:w="120"/>
            </w:tcMar>
            <w:vAlign w:val="center"/>
          </w:tcPr>
          <w:p>
            <w:pPr>
              <w:jc w:val="right"/>
            </w:pPr>
            <w:r>
              <w:rPr>
                <w:b w:val="false"/>
                <w:bCs w:val="false"/>
                <w:color w:val="161F19"/>
                <w:sz w:val="18"/>
                <w:szCs w:val="18"/>
              </w:rPr>
              <w:t xml:space="preserve">22,3 %</w:t>
            </w:r>
          </w:p>
        </w:tc>
      </w:tr>
      <w:tr>
        <w:tc>
          <w:tcPr>
            <w:tcW w:type="dxa" w:w="3020"/>
            <w:shd w:fill="FFFFFF" w:val="clear"/>
            <w:tcMar>
              <w:top w:type="dxa" w:w="70"/>
              <w:left w:type="dxa" w:w="120"/>
              <w:bottom w:type="dxa" w:w="70"/>
              <w:right w:type="dxa" w:w="120"/>
            </w:tcMar>
            <w:vAlign w:val="center"/>
          </w:tcPr>
          <w:p>
            <w:pPr>
              <w:jc w:val="left"/>
            </w:pPr>
            <w:r>
              <w:rPr>
                <w:b w:val="false"/>
                <w:bCs w:val="false"/>
                <w:color w:val="161F19"/>
                <w:sz w:val="18"/>
                <w:szCs w:val="18"/>
              </w:rPr>
              <w:t xml:space="preserve">Uvira</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47,0 %</w:t>
            </w:r>
          </w:p>
        </w:tc>
        <w:tc>
          <w:tcPr>
            <w:tcW w:type="dxa" w:w="3000"/>
            <w:shd w:fill="FFFFFF" w:val="clear"/>
            <w:tcMar>
              <w:top w:type="dxa" w:w="70"/>
              <w:left w:type="dxa" w:w="120"/>
              <w:bottom w:type="dxa" w:w="70"/>
              <w:right w:type="dxa" w:w="120"/>
            </w:tcMar>
            <w:vAlign w:val="center"/>
          </w:tcPr>
          <w:p>
            <w:pPr>
              <w:jc w:val="right"/>
            </w:pPr>
            <w:r>
              <w:rPr>
                <w:b w:val="false"/>
                <w:bCs w:val="false"/>
                <w:color w:val="161F19"/>
                <w:sz w:val="18"/>
                <w:szCs w:val="18"/>
              </w:rPr>
              <w:t xml:space="preserve">23,4 %</w:t>
            </w:r>
          </w:p>
        </w:tc>
      </w:tr>
      <w:tr>
        <w:tc>
          <w:tcPr>
            <w:tcW w:type="dxa" w:w="3020"/>
            <w:shd w:fill="F7F6F1" w:val="clear"/>
            <w:tcMar>
              <w:top w:type="dxa" w:w="70"/>
              <w:left w:type="dxa" w:w="120"/>
              <w:bottom w:type="dxa" w:w="70"/>
              <w:right w:type="dxa" w:w="120"/>
            </w:tcMar>
            <w:vAlign w:val="center"/>
          </w:tcPr>
          <w:p>
            <w:pPr>
              <w:jc w:val="left"/>
            </w:pPr>
            <w:r>
              <w:rPr>
                <w:b/>
                <w:bCs/>
                <w:color w:val="161F19"/>
                <w:sz w:val="18"/>
                <w:szCs w:val="18"/>
              </w:rPr>
              <w:t xml:space="preserve">Moyenne projet</w:t>
            </w:r>
          </w:p>
        </w:tc>
        <w:tc>
          <w:tcPr>
            <w:tcW w:type="dxa" w:w="3000"/>
            <w:shd w:fill="F7F6F1" w:val="clear"/>
            <w:tcMar>
              <w:top w:type="dxa" w:w="70"/>
              <w:left w:type="dxa" w:w="120"/>
              <w:bottom w:type="dxa" w:w="70"/>
              <w:right w:type="dxa" w:w="120"/>
            </w:tcMar>
            <w:vAlign w:val="center"/>
          </w:tcPr>
          <w:p>
            <w:pPr>
              <w:jc w:val="right"/>
            </w:pPr>
            <w:r>
              <w:rPr>
                <w:b/>
                <w:bCs/>
                <w:color w:val="161F19"/>
                <w:sz w:val="18"/>
                <w:szCs w:val="18"/>
              </w:rPr>
              <w:t xml:space="preserve">54,1 %</w:t>
            </w:r>
          </w:p>
        </w:tc>
        <w:tc>
          <w:tcPr>
            <w:tcW w:type="dxa" w:w="3000"/>
            <w:shd w:fill="F7F6F1" w:val="clear"/>
            <w:tcMar>
              <w:top w:type="dxa" w:w="70"/>
              <w:left w:type="dxa" w:w="120"/>
              <w:bottom w:type="dxa" w:w="70"/>
              <w:right w:type="dxa" w:w="120"/>
            </w:tcMar>
            <w:vAlign w:val="center"/>
          </w:tcPr>
          <w:p>
            <w:pPr>
              <w:jc w:val="right"/>
            </w:pPr>
            <w:r>
              <w:rPr>
                <w:b/>
                <w:bCs/>
                <w:color w:val="161F19"/>
                <w:sz w:val="18"/>
                <w:szCs w:val="18"/>
              </w:rPr>
              <w:t xml:space="preserve">22,7 %</w:t>
            </w:r>
          </w:p>
        </w:tc>
      </w:tr>
    </w:tbl>
    <w:p>
      <w:pPr>
        <w:pStyle w:val="Heading2"/>
        <w:spacing w:after="140" w:before="320"/>
      </w:pPr>
      <w:r>
        <w:rPr>
          <w:b/>
          <w:bCs/>
          <w:color w:val="161F19"/>
          <w:sz w:val="24"/>
          <w:szCs w:val="24"/>
        </w:rPr>
        <w:t xml:space="preserve">10.4 Équité par partenaire de mise en œuvre</w:t>
      </w:r>
    </w:p>
    <w:p>
      <w:pPr>
        <w:spacing w:after="160" w:line="300"/>
      </w:pPr>
      <w:r>
        <w:rPr>
          <w:b w:val="false"/>
          <w:bCs w:val="false"/>
          <w:i w:val="false"/>
          <w:iCs w:val="false"/>
          <w:color w:val="161F19"/>
          <w:sz w:val="21"/>
          <w:szCs w:val="21"/>
        </w:rPr>
        <w:t xml:space="preserve">L'écart de représentation féminine est encore plus marqué entre partenaires : VSF, dont les activités portent sur l'élevage (vaccination, insémination, blocs à lécher), touche une clientèle à 63,0 % masculine, contre 64,2 % de femmes chez SARCAF. Ce constat suggère un potentiel de renforcement de l'approche genre dans les activités d'élevage.</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6200"/>
        <w:gridCol w:w="2820"/>
      </w:tblGrid>
      <w:tr>
        <w:trPr>
          <w:tblHeader/>
        </w:trPr>
        <w:tc>
          <w:tcPr>
            <w:tcW w:type="dxa" w:w="6200"/>
            <w:shd w:fill="1D7A4C" w:val="clear"/>
            <w:tcMar>
              <w:top w:type="dxa" w:w="90"/>
              <w:left w:type="dxa" w:w="120"/>
              <w:bottom w:type="dxa" w:w="90"/>
              <w:right w:type="dxa" w:w="120"/>
            </w:tcMar>
            <w:vAlign w:val="center"/>
          </w:tcPr>
          <w:p>
            <w:pPr>
              <w:jc w:val="left"/>
            </w:pPr>
            <w:r>
              <w:rPr>
                <w:b/>
                <w:bCs/>
                <w:color w:val="FFFFFF"/>
                <w:sz w:val="17"/>
                <w:szCs w:val="17"/>
              </w:rPr>
              <w:t xml:space="preserve">Partenaire</w:t>
            </w:r>
          </w:p>
        </w:tc>
        <w:tc>
          <w:tcPr>
            <w:tcW w:type="dxa" w:w="2820"/>
            <w:shd w:fill="1D7A4C" w:val="clear"/>
            <w:tcMar>
              <w:top w:type="dxa" w:w="90"/>
              <w:left w:type="dxa" w:w="120"/>
              <w:bottom w:type="dxa" w:w="90"/>
              <w:right w:type="dxa" w:w="120"/>
            </w:tcMar>
            <w:vAlign w:val="center"/>
          </w:tcPr>
          <w:p>
            <w:pPr>
              <w:jc w:val="right"/>
            </w:pPr>
            <w:r>
              <w:rPr>
                <w:b/>
                <w:bCs/>
                <w:color w:val="FFFFFF"/>
                <w:sz w:val="17"/>
                <w:szCs w:val="17"/>
              </w:rPr>
              <w:t xml:space="preserve">Part des femmes</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SARCAF</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64,2 %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IITA</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60,9 %</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Rikolto</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58,5 %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World Vegetable Center</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52,0 %</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CIAT</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38,8 %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VSF (élevage)</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37,0 %</w:t>
            </w:r>
          </w:p>
        </w:tc>
      </w:tr>
      <w:tr>
        <w:tc>
          <w:tcPr>
            <w:tcW w:type="dxa" w:w="6200"/>
            <w:shd w:fill="FFFFFF" w:val="clear"/>
            <w:tcMar>
              <w:top w:type="dxa" w:w="70"/>
              <w:left w:type="dxa" w:w="120"/>
              <w:bottom w:type="dxa" w:w="70"/>
              <w:right w:type="dxa" w:w="120"/>
            </w:tcMar>
            <w:vAlign w:val="center"/>
          </w:tcPr>
          <w:p>
            <w:pPr>
              <w:jc w:val="left"/>
            </w:pPr>
            <w:r>
              <w:rPr>
                <w:color w:val="161F19"/>
                <w:sz w:val="18"/>
                <w:szCs w:val="18"/>
              </w:rPr>
              <w:t xml:space="preserve">Seed Systems Group</w:t>
            </w:r>
          </w:p>
        </w:tc>
        <w:tc>
          <w:tcPr>
            <w:tcW w:type="dxa" w:w="2820"/>
            <w:shd w:fill="FFFFFF" w:val="clear"/>
            <w:tcMar>
              <w:top w:type="dxa" w:w="70"/>
              <w:left w:type="dxa" w:w="120"/>
              <w:bottom w:type="dxa" w:w="70"/>
              <w:right w:type="dxa" w:w="120"/>
            </w:tcMar>
            <w:vAlign w:val="center"/>
          </w:tcPr>
          <w:p>
            <w:pPr>
              <w:jc w:val="right"/>
            </w:pPr>
            <w:r>
              <w:rPr>
                <w:color w:val="161F19"/>
                <w:sz w:val="18"/>
                <w:szCs w:val="18"/>
              </w:rPr>
              <w:t xml:space="preserve">18,3 %</w:t>
            </w:r>
          </w:p>
        </w:tc>
      </w:tr>
      <w:tr>
        <w:tc>
          <w:tcPr>
            <w:tcW w:type="dxa" w:w="6200"/>
            <w:shd w:fill="F7F6F1" w:val="clear"/>
            <w:tcMar>
              <w:top w:type="dxa" w:w="70"/>
              <w:left w:type="dxa" w:w="120"/>
              <w:bottom w:type="dxa" w:w="70"/>
              <w:right w:type="dxa" w:w="120"/>
            </w:tcMar>
            <w:vAlign w:val="center"/>
          </w:tcPr>
          <w:p>
            <w:pPr>
              <w:jc w:val="left"/>
            </w:pPr>
            <w:r>
              <w:rPr>
                <w:color w:val="161F19"/>
                <w:sz w:val="18"/>
                <w:szCs w:val="18"/>
              </w:rPr>
              <w:t xml:space="preserve">CIP</w:t>
            </w:r>
          </w:p>
        </w:tc>
        <w:tc>
          <w:tcPr>
            <w:tcW w:type="dxa" w:w="2820"/>
            <w:shd w:fill="F7F6F1" w:val="clear"/>
            <w:tcMar>
              <w:top w:type="dxa" w:w="70"/>
              <w:left w:type="dxa" w:w="120"/>
              <w:bottom w:type="dxa" w:w="70"/>
              <w:right w:type="dxa" w:w="120"/>
            </w:tcMar>
            <w:vAlign w:val="center"/>
          </w:tcPr>
          <w:p>
            <w:pPr>
              <w:jc w:val="right"/>
            </w:pPr>
            <w:r>
              <w:rPr>
                <w:color w:val="161F19"/>
                <w:sz w:val="18"/>
                <w:szCs w:val="18"/>
              </w:rPr>
              <w:t xml:space="preserve">17,1 %</w:t>
            </w:r>
          </w:p>
        </w:tc>
      </w:tr>
    </w:tbl>
    <w:p>
      <w:pPr>
        <w:pStyle w:val="Heading2"/>
        <w:spacing w:after="140" w:before="320"/>
      </w:pPr>
      <w:r>
        <w:rPr>
          <w:b/>
          <w:bCs/>
          <w:color w:val="161F19"/>
          <w:sz w:val="24"/>
          <w:szCs w:val="24"/>
        </w:rPr>
        <w:t xml:space="preserve">10.5 Répartition territoriale du travail entre partenaires</w:t>
      </w:r>
    </w:p>
    <w:p>
      <w:pPr>
        <w:spacing w:after="160" w:line="300"/>
      </w:pPr>
      <w:r>
        <w:rPr>
          <w:b w:val="false"/>
          <w:bCs w:val="false"/>
          <w:i w:val="false"/>
          <w:iCs w:val="false"/>
          <w:color w:val="161F19"/>
          <w:sz w:val="21"/>
          <w:szCs w:val="21"/>
        </w:rPr>
        <w:t xml:space="preserve">La répartition géographique des trois partenaires principaux traduit une spécialisation cohérente avec peu de chevauchement : Rikolto couvre en quasi-exclusivité les territoires excentrés (Fizi, Mwenga, Idjwi), tandis que SARCAF et VSF se concentrent sur les territoires à forte densité d'élevage (Kabare, Kalehe, Walungu). Cette complémentarité limite le risque de double comptage inter-partenaires et constitue un argument de bonne coordination du consortium.</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3300"/>
        <w:gridCol w:w="3300"/>
        <w:gridCol w:w="2420"/>
      </w:tblGrid>
      <w:tr>
        <w:trPr>
          <w:tblHeader/>
        </w:trPr>
        <w:tc>
          <w:tcPr>
            <w:tcW w:type="dxa" w:w="3300"/>
            <w:shd w:fill="1D7A4C" w:val="clear"/>
            <w:tcMar>
              <w:top w:type="dxa" w:w="90"/>
              <w:left w:type="dxa" w:w="120"/>
              <w:bottom w:type="dxa" w:w="90"/>
              <w:right w:type="dxa" w:w="120"/>
            </w:tcMar>
            <w:vAlign w:val="center"/>
          </w:tcPr>
          <w:p>
            <w:pPr>
              <w:jc w:val="left"/>
            </w:pPr>
            <w:r>
              <w:rPr>
                <w:b/>
                <w:bCs/>
                <w:color w:val="FFFFFF"/>
                <w:sz w:val="17"/>
                <w:szCs w:val="17"/>
              </w:rPr>
              <w:t xml:space="preserve">Territoire</w:t>
            </w:r>
          </w:p>
        </w:tc>
        <w:tc>
          <w:tcPr>
            <w:tcW w:type="dxa" w:w="3300"/>
            <w:shd w:fill="1D7A4C" w:val="clear"/>
            <w:tcMar>
              <w:top w:type="dxa" w:w="90"/>
              <w:left w:type="dxa" w:w="120"/>
              <w:bottom w:type="dxa" w:w="90"/>
              <w:right w:type="dxa" w:w="120"/>
            </w:tcMar>
            <w:vAlign w:val="center"/>
          </w:tcPr>
          <w:p>
            <w:pPr>
              <w:jc w:val="right"/>
            </w:pPr>
            <w:r>
              <w:rPr>
                <w:b/>
                <w:bCs/>
                <w:color w:val="FFFFFF"/>
                <w:sz w:val="17"/>
                <w:szCs w:val="17"/>
              </w:rPr>
              <w:t xml:space="preserve">Partenaire dominant</w:t>
            </w:r>
          </w:p>
        </w:tc>
        <w:tc>
          <w:tcPr>
            <w:tcW w:type="dxa" w:w="2420"/>
            <w:shd w:fill="1D7A4C" w:val="clear"/>
            <w:tcMar>
              <w:top w:type="dxa" w:w="90"/>
              <w:left w:type="dxa" w:w="120"/>
              <w:bottom w:type="dxa" w:w="90"/>
              <w:right w:type="dxa" w:w="120"/>
            </w:tcMar>
            <w:vAlign w:val="center"/>
          </w:tcPr>
          <w:p>
            <w:pPr>
              <w:jc w:val="right"/>
            </w:pPr>
            <w:r>
              <w:rPr>
                <w:b/>
                <w:bCs/>
                <w:color w:val="FFFFFF"/>
                <w:sz w:val="17"/>
                <w:szCs w:val="17"/>
              </w:rPr>
              <w:t xml:space="preserve">Part du partenaire dominant</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Fizi</w:t>
            </w:r>
          </w:p>
        </w:tc>
        <w:tc>
          <w:tcPr>
            <w:tcW w:type="dxa" w:w="3300"/>
            <w:shd w:fill="FFFFFF" w:val="clear"/>
            <w:tcMar>
              <w:top w:type="dxa" w:w="70"/>
              <w:left w:type="dxa" w:w="120"/>
              <w:bottom w:type="dxa" w:w="70"/>
              <w:right w:type="dxa" w:w="120"/>
            </w:tcMar>
            <w:vAlign w:val="center"/>
          </w:tcPr>
          <w:p>
            <w:pPr>
              <w:jc w:val="right"/>
            </w:pPr>
            <w:r>
              <w:rPr>
                <w:color w:val="161F19"/>
                <w:sz w:val="18"/>
                <w:szCs w:val="18"/>
              </w:rPr>
              <w:t xml:space="preserve">Rikolto</w:t>
            </w:r>
          </w:p>
        </w:tc>
        <w:tc>
          <w:tcPr>
            <w:tcW w:type="dxa" w:w="2420"/>
            <w:shd w:fill="FFFFFF" w:val="clear"/>
            <w:tcMar>
              <w:top w:type="dxa" w:w="70"/>
              <w:left w:type="dxa" w:w="120"/>
              <w:bottom w:type="dxa" w:w="70"/>
              <w:right w:type="dxa" w:w="120"/>
            </w:tcMar>
            <w:vAlign w:val="center"/>
          </w:tcPr>
          <w:p>
            <w:pPr>
              <w:jc w:val="right"/>
            </w:pPr>
            <w:r>
              <w:rPr>
                <w:color w:val="161F19"/>
                <w:sz w:val="18"/>
                <w:szCs w:val="18"/>
              </w:rPr>
              <w:t xml:space="preserve">100,0 %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Idjwi</w:t>
            </w:r>
          </w:p>
        </w:tc>
        <w:tc>
          <w:tcPr>
            <w:tcW w:type="dxa" w:w="3300"/>
            <w:shd w:fill="F7F6F1" w:val="clear"/>
            <w:tcMar>
              <w:top w:type="dxa" w:w="70"/>
              <w:left w:type="dxa" w:w="120"/>
              <w:bottom w:type="dxa" w:w="70"/>
              <w:right w:type="dxa" w:w="120"/>
            </w:tcMar>
            <w:vAlign w:val="center"/>
          </w:tcPr>
          <w:p>
            <w:pPr>
              <w:jc w:val="right"/>
            </w:pPr>
            <w:r>
              <w:rPr>
                <w:color w:val="161F19"/>
                <w:sz w:val="18"/>
                <w:szCs w:val="18"/>
              </w:rPr>
              <w:t xml:space="preserve">Rikolto</w:t>
            </w:r>
          </w:p>
        </w:tc>
        <w:tc>
          <w:tcPr>
            <w:tcW w:type="dxa" w:w="2420"/>
            <w:shd w:fill="F7F6F1" w:val="clear"/>
            <w:tcMar>
              <w:top w:type="dxa" w:w="70"/>
              <w:left w:type="dxa" w:w="120"/>
              <w:bottom w:type="dxa" w:w="70"/>
              <w:right w:type="dxa" w:w="120"/>
            </w:tcMar>
            <w:vAlign w:val="center"/>
          </w:tcPr>
          <w:p>
            <w:pPr>
              <w:jc w:val="right"/>
            </w:pPr>
            <w:r>
              <w:rPr>
                <w:color w:val="161F19"/>
                <w:sz w:val="18"/>
                <w:szCs w:val="18"/>
              </w:rPr>
              <w:t xml:space="preserve">87,3 %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Mwenga</w:t>
            </w:r>
          </w:p>
        </w:tc>
        <w:tc>
          <w:tcPr>
            <w:tcW w:type="dxa" w:w="3300"/>
            <w:shd w:fill="FFFFFF" w:val="clear"/>
            <w:tcMar>
              <w:top w:type="dxa" w:w="70"/>
              <w:left w:type="dxa" w:w="120"/>
              <w:bottom w:type="dxa" w:w="70"/>
              <w:right w:type="dxa" w:w="120"/>
            </w:tcMar>
            <w:vAlign w:val="center"/>
          </w:tcPr>
          <w:p>
            <w:pPr>
              <w:jc w:val="right"/>
            </w:pPr>
            <w:r>
              <w:rPr>
                <w:color w:val="161F19"/>
                <w:sz w:val="18"/>
                <w:szCs w:val="18"/>
              </w:rPr>
              <w:t xml:space="preserve">Rikolto</w:t>
            </w:r>
          </w:p>
        </w:tc>
        <w:tc>
          <w:tcPr>
            <w:tcW w:type="dxa" w:w="2420"/>
            <w:shd w:fill="FFFFFF" w:val="clear"/>
            <w:tcMar>
              <w:top w:type="dxa" w:w="70"/>
              <w:left w:type="dxa" w:w="120"/>
              <w:bottom w:type="dxa" w:w="70"/>
              <w:right w:type="dxa" w:w="120"/>
            </w:tcMar>
            <w:vAlign w:val="center"/>
          </w:tcPr>
          <w:p>
            <w:pPr>
              <w:jc w:val="right"/>
            </w:pPr>
            <w:r>
              <w:rPr>
                <w:color w:val="161F19"/>
                <w:sz w:val="18"/>
                <w:szCs w:val="18"/>
              </w:rPr>
              <w:t xml:space="preserve">85,8 %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Uvira</w:t>
            </w:r>
          </w:p>
        </w:tc>
        <w:tc>
          <w:tcPr>
            <w:tcW w:type="dxa" w:w="3300"/>
            <w:shd w:fill="F7F6F1" w:val="clear"/>
            <w:tcMar>
              <w:top w:type="dxa" w:w="70"/>
              <w:left w:type="dxa" w:w="120"/>
              <w:bottom w:type="dxa" w:w="70"/>
              <w:right w:type="dxa" w:w="120"/>
            </w:tcMar>
            <w:vAlign w:val="center"/>
          </w:tcPr>
          <w:p>
            <w:pPr>
              <w:jc w:val="right"/>
            </w:pPr>
            <w:r>
              <w:rPr>
                <w:color w:val="161F19"/>
                <w:sz w:val="18"/>
                <w:szCs w:val="18"/>
              </w:rPr>
              <w:t xml:space="preserve">Rikolto</w:t>
            </w:r>
          </w:p>
        </w:tc>
        <w:tc>
          <w:tcPr>
            <w:tcW w:type="dxa" w:w="2420"/>
            <w:shd w:fill="F7F6F1" w:val="clear"/>
            <w:tcMar>
              <w:top w:type="dxa" w:w="70"/>
              <w:left w:type="dxa" w:w="120"/>
              <w:bottom w:type="dxa" w:w="70"/>
              <w:right w:type="dxa" w:w="120"/>
            </w:tcMar>
            <w:vAlign w:val="center"/>
          </w:tcPr>
          <w:p>
            <w:pPr>
              <w:jc w:val="right"/>
            </w:pPr>
            <w:r>
              <w:rPr>
                <w:color w:val="161F19"/>
                <w:sz w:val="18"/>
                <w:szCs w:val="18"/>
              </w:rPr>
              <w:t xml:space="preserve">50,3 %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Kabare</w:t>
            </w:r>
          </w:p>
        </w:tc>
        <w:tc>
          <w:tcPr>
            <w:tcW w:type="dxa" w:w="3300"/>
            <w:shd w:fill="FFFFFF" w:val="clear"/>
            <w:tcMar>
              <w:top w:type="dxa" w:w="70"/>
              <w:left w:type="dxa" w:w="120"/>
              <w:bottom w:type="dxa" w:w="70"/>
              <w:right w:type="dxa" w:w="120"/>
            </w:tcMar>
            <w:vAlign w:val="center"/>
          </w:tcPr>
          <w:p>
            <w:pPr>
              <w:jc w:val="right"/>
            </w:pPr>
            <w:r>
              <w:rPr>
                <w:color w:val="161F19"/>
                <w:sz w:val="18"/>
                <w:szCs w:val="18"/>
              </w:rPr>
              <w:t xml:space="preserve">SARCAF</w:t>
            </w:r>
          </w:p>
        </w:tc>
        <w:tc>
          <w:tcPr>
            <w:tcW w:type="dxa" w:w="2420"/>
            <w:shd w:fill="FFFFFF" w:val="clear"/>
            <w:tcMar>
              <w:top w:type="dxa" w:w="70"/>
              <w:left w:type="dxa" w:w="120"/>
              <w:bottom w:type="dxa" w:w="70"/>
              <w:right w:type="dxa" w:w="120"/>
            </w:tcMar>
            <w:vAlign w:val="center"/>
          </w:tcPr>
          <w:p>
            <w:pPr>
              <w:jc w:val="right"/>
            </w:pPr>
            <w:r>
              <w:rPr>
                <w:color w:val="161F19"/>
                <w:sz w:val="18"/>
                <w:szCs w:val="18"/>
              </w:rPr>
              <w:t xml:space="preserve">62,7 %</w:t>
            </w:r>
          </w:p>
        </w:tc>
      </w:tr>
      <w:tr>
        <w:tc>
          <w:tcPr>
            <w:tcW w:type="dxa" w:w="3300"/>
            <w:shd w:fill="F7F6F1" w:val="clear"/>
            <w:tcMar>
              <w:top w:type="dxa" w:w="70"/>
              <w:left w:type="dxa" w:w="120"/>
              <w:bottom w:type="dxa" w:w="70"/>
              <w:right w:type="dxa" w:w="120"/>
            </w:tcMar>
            <w:vAlign w:val="center"/>
          </w:tcPr>
          <w:p>
            <w:pPr>
              <w:jc w:val="left"/>
            </w:pPr>
            <w:r>
              <w:rPr>
                <w:color w:val="161F19"/>
                <w:sz w:val="18"/>
                <w:szCs w:val="18"/>
              </w:rPr>
              <w:t xml:space="preserve">Walungu</w:t>
            </w:r>
          </w:p>
        </w:tc>
        <w:tc>
          <w:tcPr>
            <w:tcW w:type="dxa" w:w="3300"/>
            <w:shd w:fill="F7F6F1" w:val="clear"/>
            <w:tcMar>
              <w:top w:type="dxa" w:w="70"/>
              <w:left w:type="dxa" w:w="120"/>
              <w:bottom w:type="dxa" w:w="70"/>
              <w:right w:type="dxa" w:w="120"/>
            </w:tcMar>
            <w:vAlign w:val="center"/>
          </w:tcPr>
          <w:p>
            <w:pPr>
              <w:jc w:val="right"/>
            </w:pPr>
            <w:r>
              <w:rPr>
                <w:color w:val="161F19"/>
                <w:sz w:val="18"/>
                <w:szCs w:val="18"/>
              </w:rPr>
              <w:t xml:space="preserve">SARCAF</w:t>
            </w:r>
          </w:p>
        </w:tc>
        <w:tc>
          <w:tcPr>
            <w:tcW w:type="dxa" w:w="2420"/>
            <w:shd w:fill="F7F6F1" w:val="clear"/>
            <w:tcMar>
              <w:top w:type="dxa" w:w="70"/>
              <w:left w:type="dxa" w:w="120"/>
              <w:bottom w:type="dxa" w:w="70"/>
              <w:right w:type="dxa" w:w="120"/>
            </w:tcMar>
            <w:vAlign w:val="center"/>
          </w:tcPr>
          <w:p>
            <w:pPr>
              <w:jc w:val="right"/>
            </w:pPr>
            <w:r>
              <w:rPr>
                <w:color w:val="161F19"/>
                <w:sz w:val="18"/>
                <w:szCs w:val="18"/>
              </w:rPr>
              <w:t xml:space="preserve">50,5 %</w:t>
            </w:r>
          </w:p>
        </w:tc>
      </w:tr>
      <w:tr>
        <w:tc>
          <w:tcPr>
            <w:tcW w:type="dxa" w:w="3300"/>
            <w:shd w:fill="FFFFFF" w:val="clear"/>
            <w:tcMar>
              <w:top w:type="dxa" w:w="70"/>
              <w:left w:type="dxa" w:w="120"/>
              <w:bottom w:type="dxa" w:w="70"/>
              <w:right w:type="dxa" w:w="120"/>
            </w:tcMar>
            <w:vAlign w:val="center"/>
          </w:tcPr>
          <w:p>
            <w:pPr>
              <w:jc w:val="left"/>
            </w:pPr>
            <w:r>
              <w:rPr>
                <w:color w:val="161F19"/>
                <w:sz w:val="18"/>
                <w:szCs w:val="18"/>
              </w:rPr>
              <w:t xml:space="preserve">Kalehe</w:t>
            </w:r>
          </w:p>
        </w:tc>
        <w:tc>
          <w:tcPr>
            <w:tcW w:type="dxa" w:w="3300"/>
            <w:shd w:fill="FFFFFF" w:val="clear"/>
            <w:tcMar>
              <w:top w:type="dxa" w:w="70"/>
              <w:left w:type="dxa" w:w="120"/>
              <w:bottom w:type="dxa" w:w="70"/>
              <w:right w:type="dxa" w:w="120"/>
            </w:tcMar>
            <w:vAlign w:val="center"/>
          </w:tcPr>
          <w:p>
            <w:pPr>
              <w:jc w:val="right"/>
            </w:pPr>
            <w:r>
              <w:rPr>
                <w:color w:val="161F19"/>
                <w:sz w:val="18"/>
                <w:szCs w:val="18"/>
              </w:rPr>
              <w:t xml:space="preserve">SARCAF</w:t>
            </w:r>
          </w:p>
        </w:tc>
        <w:tc>
          <w:tcPr>
            <w:tcW w:type="dxa" w:w="2420"/>
            <w:shd w:fill="FFFFFF" w:val="clear"/>
            <w:tcMar>
              <w:top w:type="dxa" w:w="70"/>
              <w:left w:type="dxa" w:w="120"/>
              <w:bottom w:type="dxa" w:w="70"/>
              <w:right w:type="dxa" w:w="120"/>
            </w:tcMar>
            <w:vAlign w:val="center"/>
          </w:tcPr>
          <w:p>
            <w:pPr>
              <w:jc w:val="right"/>
            </w:pPr>
            <w:r>
              <w:rPr>
                <w:color w:val="161F19"/>
                <w:sz w:val="18"/>
                <w:szCs w:val="18"/>
              </w:rPr>
              <w:t xml:space="preserve">41,4 %</w:t>
            </w:r>
          </w:p>
        </w:tc>
      </w:tr>
    </w:tbl>
    <w:p>
      <w:pPr>
        <w:pStyle w:val="Heading2"/>
        <w:spacing w:after="140" w:before="320"/>
      </w:pPr>
      <w:r>
        <w:rPr>
          <w:b/>
          <w:bCs/>
          <w:color w:val="161F19"/>
          <w:sz w:val="24"/>
          <w:szCs w:val="24"/>
        </w:rPr>
        <w:t xml:space="preserve">10.6 Dynamique de croissance trimestrielle</w:t>
      </w:r>
    </w:p>
    <w:p>
      <w:pPr>
        <w:spacing w:after="160" w:line="300"/>
      </w:pPr>
      <w:r>
        <w:rPr>
          <w:b w:val="false"/>
          <w:bCs w:val="false"/>
          <w:i w:val="false"/>
          <w:iCs w:val="false"/>
          <w:color w:val="161F19"/>
          <w:sz w:val="21"/>
          <w:szCs w:val="21"/>
        </w:rPr>
        <w:t xml:space="preserve">La croissance des réalisations suit un rythme de campagnes plutôt qu'une progression linéaire, avec des pics coïncidant vraisemblablement avec les périodes de distribution d'intrants liées au calendrier agricole (T3 2023, T2 2024, T4 2024) et des trimestres de consolidation entre chaque pic.</w:t>
      </w:r>
    </w:p>
    <w:tbl>
      <w:tblPr>
        <w:tblW w:type="dxa" w:w="9020"/>
        <w:tblBorders>
          <w:top w:val="single" w:color="D9D6C9" w:sz="2"/>
          <w:left w:val="single" w:color="D9D6C9" w:sz="2"/>
          <w:bottom w:val="single" w:color="D9D6C9" w:sz="2"/>
          <w:right w:val="single" w:color="D9D6C9" w:sz="2"/>
          <w:insideH w:val="single" w:color="D9D6C9" w:sz="2"/>
          <w:insideV w:val="single" w:color="D9D6C9" w:sz="2"/>
        </w:tblBorders>
      </w:tblPr>
      <w:tblGrid>
        <w:gridCol w:w="4510"/>
        <w:gridCol w:w="4510"/>
      </w:tblGrid>
      <w:tr>
        <w:trPr>
          <w:tblHeader/>
        </w:trPr>
        <w:tc>
          <w:tcPr>
            <w:tcW w:type="dxa" w:w="4510"/>
            <w:shd w:fill="1D7A4C" w:val="clear"/>
            <w:tcMar>
              <w:top w:type="dxa" w:w="90"/>
              <w:left w:type="dxa" w:w="120"/>
              <w:bottom w:type="dxa" w:w="90"/>
              <w:right w:type="dxa" w:w="120"/>
            </w:tcMar>
            <w:vAlign w:val="center"/>
          </w:tcPr>
          <w:p>
            <w:pPr>
              <w:jc w:val="left"/>
            </w:pPr>
            <w:r>
              <w:rPr>
                <w:b/>
                <w:bCs/>
                <w:color w:val="FFFFFF"/>
                <w:sz w:val="17"/>
                <w:szCs w:val="17"/>
              </w:rPr>
              <w:t xml:space="preserve">Trimestre</w:t>
            </w:r>
          </w:p>
        </w:tc>
        <w:tc>
          <w:tcPr>
            <w:tcW w:type="dxa" w:w="4510"/>
            <w:shd w:fill="1D7A4C" w:val="clear"/>
            <w:tcMar>
              <w:top w:type="dxa" w:w="90"/>
              <w:left w:type="dxa" w:w="120"/>
              <w:bottom w:type="dxa" w:w="90"/>
              <w:right w:type="dxa" w:w="120"/>
            </w:tcMar>
            <w:vAlign w:val="center"/>
          </w:tcPr>
          <w:p>
            <w:pPr>
              <w:jc w:val="right"/>
            </w:pPr>
            <w:r>
              <w:rPr>
                <w:b/>
                <w:bCs/>
                <w:color w:val="FFFFFF"/>
                <w:sz w:val="17"/>
                <w:szCs w:val="17"/>
              </w:rPr>
              <w:t xml:space="preserve">Croissance QoQ</w:t>
            </w:r>
          </w:p>
        </w:tc>
      </w:tr>
      <w:tr>
        <w:tc>
          <w:tcPr>
            <w:tcW w:type="dxa" w:w="4510"/>
            <w:shd w:fill="FFFFFF" w:val="clear"/>
            <w:tcMar>
              <w:top w:type="dxa" w:w="70"/>
              <w:left w:type="dxa" w:w="120"/>
              <w:bottom w:type="dxa" w:w="70"/>
              <w:right w:type="dxa" w:w="120"/>
            </w:tcMar>
            <w:vAlign w:val="center"/>
          </w:tcPr>
          <w:p>
            <w:pPr>
              <w:jc w:val="left"/>
            </w:pPr>
            <w:r>
              <w:rPr>
                <w:color w:val="161F19"/>
                <w:sz w:val="18"/>
                <w:szCs w:val="18"/>
              </w:rPr>
              <w:t xml:space="preserve">2023 T3</w:t>
            </w:r>
          </w:p>
        </w:tc>
        <w:tc>
          <w:tcPr>
            <w:tcW w:type="dxa" w:w="4510"/>
            <w:shd w:fill="FFFFFF" w:val="clear"/>
            <w:tcMar>
              <w:top w:type="dxa" w:w="70"/>
              <w:left w:type="dxa" w:w="120"/>
              <w:bottom w:type="dxa" w:w="70"/>
              <w:right w:type="dxa" w:w="120"/>
            </w:tcMar>
            <w:vAlign w:val="center"/>
          </w:tcPr>
          <w:p>
            <w:pPr>
              <w:jc w:val="right"/>
            </w:pPr>
            <w:r>
              <w:rPr>
                <w:color w:val="161F19"/>
                <w:sz w:val="18"/>
                <w:szCs w:val="18"/>
              </w:rPr>
              <w:t xml:space="preserve">+15 798 %</w:t>
            </w:r>
          </w:p>
        </w:tc>
      </w:tr>
      <w:tr>
        <w:tc>
          <w:tcPr>
            <w:tcW w:type="dxa" w:w="4510"/>
            <w:shd w:fill="F7F6F1" w:val="clear"/>
            <w:tcMar>
              <w:top w:type="dxa" w:w="70"/>
              <w:left w:type="dxa" w:w="120"/>
              <w:bottom w:type="dxa" w:w="70"/>
              <w:right w:type="dxa" w:w="120"/>
            </w:tcMar>
            <w:vAlign w:val="center"/>
          </w:tcPr>
          <w:p>
            <w:pPr>
              <w:jc w:val="left"/>
            </w:pPr>
            <w:r>
              <w:rPr>
                <w:color w:val="161F19"/>
                <w:sz w:val="18"/>
                <w:szCs w:val="18"/>
              </w:rPr>
              <w:t xml:space="preserve">2023 T4</w:t>
            </w:r>
          </w:p>
        </w:tc>
        <w:tc>
          <w:tcPr>
            <w:tcW w:type="dxa" w:w="4510"/>
            <w:shd w:fill="F7F6F1" w:val="clear"/>
            <w:tcMar>
              <w:top w:type="dxa" w:w="70"/>
              <w:left w:type="dxa" w:w="120"/>
              <w:bottom w:type="dxa" w:w="70"/>
              <w:right w:type="dxa" w:w="120"/>
            </w:tcMar>
            <w:vAlign w:val="center"/>
          </w:tcPr>
          <w:p>
            <w:pPr>
              <w:jc w:val="right"/>
            </w:pPr>
            <w:r>
              <w:rPr>
                <w:color w:val="161F19"/>
                <w:sz w:val="18"/>
                <w:szCs w:val="18"/>
              </w:rPr>
              <w:t xml:space="preserve">− 25 %</w:t>
            </w:r>
          </w:p>
        </w:tc>
      </w:tr>
      <w:tr>
        <w:tc>
          <w:tcPr>
            <w:tcW w:type="dxa" w:w="4510"/>
            <w:shd w:fill="FFFFFF" w:val="clear"/>
            <w:tcMar>
              <w:top w:type="dxa" w:w="70"/>
              <w:left w:type="dxa" w:w="120"/>
              <w:bottom w:type="dxa" w:w="70"/>
              <w:right w:type="dxa" w:w="120"/>
            </w:tcMar>
            <w:vAlign w:val="center"/>
          </w:tcPr>
          <w:p>
            <w:pPr>
              <w:jc w:val="left"/>
            </w:pPr>
            <w:r>
              <w:rPr>
                <w:color w:val="161F19"/>
                <w:sz w:val="18"/>
                <w:szCs w:val="18"/>
              </w:rPr>
              <w:t xml:space="preserve">2024 T1</w:t>
            </w:r>
          </w:p>
        </w:tc>
        <w:tc>
          <w:tcPr>
            <w:tcW w:type="dxa" w:w="4510"/>
            <w:shd w:fill="FFFFFF" w:val="clear"/>
            <w:tcMar>
              <w:top w:type="dxa" w:w="70"/>
              <w:left w:type="dxa" w:w="120"/>
              <w:bottom w:type="dxa" w:w="70"/>
              <w:right w:type="dxa" w:w="120"/>
            </w:tcMar>
            <w:vAlign w:val="center"/>
          </w:tcPr>
          <w:p>
            <w:pPr>
              <w:jc w:val="right"/>
            </w:pPr>
            <w:r>
              <w:rPr>
                <w:color w:val="161F19"/>
                <w:sz w:val="18"/>
                <w:szCs w:val="18"/>
              </w:rPr>
              <w:t xml:space="preserve">− 77 %</w:t>
            </w:r>
          </w:p>
        </w:tc>
      </w:tr>
      <w:tr>
        <w:tc>
          <w:tcPr>
            <w:tcW w:type="dxa" w:w="4510"/>
            <w:shd w:fill="F7F6F1" w:val="clear"/>
            <w:tcMar>
              <w:top w:type="dxa" w:w="70"/>
              <w:left w:type="dxa" w:w="120"/>
              <w:bottom w:type="dxa" w:w="70"/>
              <w:right w:type="dxa" w:w="120"/>
            </w:tcMar>
            <w:vAlign w:val="center"/>
          </w:tcPr>
          <w:p>
            <w:pPr>
              <w:jc w:val="left"/>
            </w:pPr>
            <w:r>
              <w:rPr>
                <w:color w:val="161F19"/>
                <w:sz w:val="18"/>
                <w:szCs w:val="18"/>
              </w:rPr>
              <w:t xml:space="preserve">2024 T2</w:t>
            </w:r>
          </w:p>
        </w:tc>
        <w:tc>
          <w:tcPr>
            <w:tcW w:type="dxa" w:w="4510"/>
            <w:shd w:fill="F7F6F1" w:val="clear"/>
            <w:tcMar>
              <w:top w:type="dxa" w:w="70"/>
              <w:left w:type="dxa" w:w="120"/>
              <w:bottom w:type="dxa" w:w="70"/>
              <w:right w:type="dxa" w:w="120"/>
            </w:tcMar>
            <w:vAlign w:val="center"/>
          </w:tcPr>
          <w:p>
            <w:pPr>
              <w:jc w:val="right"/>
            </w:pPr>
            <w:r>
              <w:rPr>
                <w:color w:val="161F19"/>
                <w:sz w:val="18"/>
                <w:szCs w:val="18"/>
              </w:rPr>
              <w:t xml:space="preserve">+669 %</w:t>
            </w:r>
          </w:p>
        </w:tc>
      </w:tr>
      <w:tr>
        <w:tc>
          <w:tcPr>
            <w:tcW w:type="dxa" w:w="4510"/>
            <w:shd w:fill="FFFFFF" w:val="clear"/>
            <w:tcMar>
              <w:top w:type="dxa" w:w="70"/>
              <w:left w:type="dxa" w:w="120"/>
              <w:bottom w:type="dxa" w:w="70"/>
              <w:right w:type="dxa" w:w="120"/>
            </w:tcMar>
            <w:vAlign w:val="center"/>
          </w:tcPr>
          <w:p>
            <w:pPr>
              <w:jc w:val="left"/>
            </w:pPr>
            <w:r>
              <w:rPr>
                <w:color w:val="161F19"/>
                <w:sz w:val="18"/>
                <w:szCs w:val="18"/>
              </w:rPr>
              <w:t xml:space="preserve">2024 T3</w:t>
            </w:r>
          </w:p>
        </w:tc>
        <w:tc>
          <w:tcPr>
            <w:tcW w:type="dxa" w:w="4510"/>
            <w:shd w:fill="FFFFFF" w:val="clear"/>
            <w:tcMar>
              <w:top w:type="dxa" w:w="70"/>
              <w:left w:type="dxa" w:w="120"/>
              <w:bottom w:type="dxa" w:w="70"/>
              <w:right w:type="dxa" w:w="120"/>
            </w:tcMar>
            <w:vAlign w:val="center"/>
          </w:tcPr>
          <w:p>
            <w:pPr>
              <w:jc w:val="right"/>
            </w:pPr>
            <w:r>
              <w:rPr>
                <w:color w:val="161F19"/>
                <w:sz w:val="18"/>
                <w:szCs w:val="18"/>
              </w:rPr>
              <w:t xml:space="preserve">− 77 %</w:t>
            </w:r>
          </w:p>
        </w:tc>
      </w:tr>
      <w:tr>
        <w:tc>
          <w:tcPr>
            <w:tcW w:type="dxa" w:w="4510"/>
            <w:shd w:fill="F7F6F1" w:val="clear"/>
            <w:tcMar>
              <w:top w:type="dxa" w:w="70"/>
              <w:left w:type="dxa" w:w="120"/>
              <w:bottom w:type="dxa" w:w="70"/>
              <w:right w:type="dxa" w:w="120"/>
            </w:tcMar>
            <w:vAlign w:val="center"/>
          </w:tcPr>
          <w:p>
            <w:pPr>
              <w:jc w:val="left"/>
            </w:pPr>
            <w:r>
              <w:rPr>
                <w:color w:val="161F19"/>
                <w:sz w:val="18"/>
                <w:szCs w:val="18"/>
              </w:rPr>
              <w:t xml:space="preserve">2024 T4</w:t>
            </w:r>
          </w:p>
        </w:tc>
        <w:tc>
          <w:tcPr>
            <w:tcW w:type="dxa" w:w="4510"/>
            <w:shd w:fill="F7F6F1" w:val="clear"/>
            <w:tcMar>
              <w:top w:type="dxa" w:w="70"/>
              <w:left w:type="dxa" w:w="120"/>
              <w:bottom w:type="dxa" w:w="70"/>
              <w:right w:type="dxa" w:w="120"/>
            </w:tcMar>
            <w:vAlign w:val="center"/>
          </w:tcPr>
          <w:p>
            <w:pPr>
              <w:jc w:val="right"/>
            </w:pPr>
            <w:r>
              <w:rPr>
                <w:color w:val="161F19"/>
                <w:sz w:val="18"/>
                <w:szCs w:val="18"/>
              </w:rPr>
              <w:t xml:space="preserve">+196 %</w:t>
            </w:r>
          </w:p>
        </w:tc>
      </w:tr>
    </w:tbl>
    <w:p>
      <w:pPr>
        <w:spacing w:after="200"/>
      </w:pPr>
      <w:r>
        <w:rPr>
          <w:i/>
          <w:iCs/>
          <w:color w:val="8A9089"/>
          <w:sz w:val="18"/>
          <w:szCs w:val="18"/>
        </w:rPr>
        <w:t xml:space="preserve">Une projection naïve du 1er trimestre 2025 à partir de la moyenne des deux derniers trimestres pleins (≈ +36 000 ménages) surestimerait largement le chiffre officiel final (261 766), ce qui suggère un ralentissement volontaire des nouvelles inscriptions en phase de clôture du projet plutôt qu'une rupture de collecte de données — hypothèse à confirmer auprès de l'équipe terrain.</w:t>
      </w:r>
    </w:p>
    <w:p>
      <w:pPr>
        <w:pStyle w:val="Heading1"/>
        <w:pBdr>
          <w:bottom w:val="single" w:color="1D7A4C" w:sz="6" w:space="6"/>
        </w:pBdr>
        <w:spacing w:after="200" w:before="420"/>
      </w:pPr>
      <w:r>
        <w:rPr>
          <w:b/>
          <w:bCs/>
          <w:color w:val="14603A"/>
          <w:sz w:val="30"/>
          <w:szCs w:val="30"/>
        </w:rPr>
        <w:t xml:space="preserve">11. Limites des données et recommandations</w:t>
      </w:r>
    </w:p>
    <w:p>
      <w:pPr>
        <w:pStyle w:val="Heading2"/>
        <w:spacing w:after="140" w:before="320"/>
      </w:pPr>
      <w:r>
        <w:rPr>
          <w:b/>
          <w:bCs/>
          <w:color w:val="161F19"/>
          <w:sz w:val="24"/>
          <w:szCs w:val="24"/>
        </w:rPr>
        <w:t xml:space="preserve">11.1 Limites identifiées</w:t>
      </w:r>
    </w:p>
    <w:p>
      <w:pPr>
        <w:pStyle w:val="ListParagraph"/>
        <w:numPr>
          <w:ilvl w:val="0"/>
          <w:numId w:val="2"/>
        </w:numPr>
        <w:spacing w:after="90"/>
      </w:pPr>
      <w:r>
        <w:rPr>
          <w:b w:val="false"/>
          <w:bCs w:val="false"/>
          <w:color w:val="161F19"/>
          <w:sz w:val="21"/>
          <w:szCs w:val="21"/>
        </w:rPr>
        <w:t xml:space="preserve">Les données du 1er trimestre 2025 (janvier–mars) n'étaient pas disponibles dans les extractions transmises ; le rapprochement avec le chiffre officiel de clôture (261 766) reste néanmoins excellent (écart de 1 ménage).</w:t>
      </w:r>
    </w:p>
    <w:p>
      <w:pPr>
        <w:pStyle w:val="ListParagraph"/>
        <w:numPr>
          <w:ilvl w:val="0"/>
          <w:numId w:val="2"/>
        </w:numPr>
        <w:spacing w:after="90"/>
      </w:pPr>
      <w:r>
        <w:rPr>
          <w:b w:val="false"/>
          <w:bCs w:val="false"/>
          <w:color w:val="161F19"/>
          <w:sz w:val="21"/>
          <w:szCs w:val="21"/>
        </w:rPr>
        <w:t xml:space="preserve">La couverture géographique de la base Rikolto porte exclusivement sur la province du Sud-Kivu ; elle ne permet donc pas d'analyser à ce stade la répartition par province au niveau de l'ensemble du projet AID-I.</w:t>
      </w:r>
    </w:p>
    <w:p>
      <w:pPr>
        <w:pStyle w:val="ListParagraph"/>
        <w:numPr>
          <w:ilvl w:val="0"/>
          <w:numId w:val="2"/>
        </w:numPr>
        <w:spacing w:after="90"/>
      </w:pPr>
      <w:r>
        <w:rPr>
          <w:b w:val="false"/>
          <w:bCs w:val="false"/>
          <w:color w:val="161F19"/>
          <w:sz w:val="21"/>
          <w:szCs w:val="21"/>
        </w:rPr>
        <w:t xml:space="preserve">Les filières sont enregistrées sous forme de texte libre multi-valeurs (un ménage peut cumuler plusieurs cultures) : les parts présentées en section 9.1 portent sur les mentions, pas sur des ménages mutuellement exclusifs.</w:t>
      </w:r>
    </w:p>
    <w:p>
      <w:pPr>
        <w:pStyle w:val="ListParagraph"/>
        <w:numPr>
          <w:ilvl w:val="0"/>
          <w:numId w:val="2"/>
        </w:numPr>
        <w:spacing w:after="90"/>
      </w:pPr>
      <w:r>
        <w:rPr>
          <w:b w:val="false"/>
          <w:bCs w:val="false"/>
          <w:color w:val="161F19"/>
          <w:sz w:val="21"/>
          <w:szCs w:val="21"/>
        </w:rPr>
        <w:t xml:space="preserve">Aucune donnée de coût ou de budget par partenaire/territoire n'était disponible dans les fichiers transmis : les indicateurs d'efficience de la section 10 portent sur la portée et l'effet de levier humain, pas sur le coût par ménage.</w:t>
      </w:r>
    </w:p>
    <w:p>
      <w:pPr>
        <w:pStyle w:val="Heading2"/>
        <w:spacing w:after="140" w:before="320"/>
      </w:pPr>
      <w:r>
        <w:rPr>
          <w:b/>
          <w:bCs/>
          <w:color w:val="161F19"/>
          <w:sz w:val="24"/>
          <w:szCs w:val="24"/>
        </w:rPr>
        <w:t xml:space="preserve">11.2 Recommandations à la Direction</w:t>
      </w:r>
    </w:p>
    <w:p>
      <w:pPr>
        <w:pStyle w:val="ListParagraph"/>
        <w:numPr>
          <w:ilvl w:val="0"/>
          <w:numId w:val="2"/>
        </w:numPr>
        <w:spacing w:after="90"/>
      </w:pPr>
      <w:r>
        <w:rPr>
          <w:b w:val="false"/>
          <w:bCs w:val="false"/>
          <w:color w:val="161F19"/>
          <w:sz w:val="21"/>
          <w:szCs w:val="21"/>
        </w:rPr>
        <w:t xml:space="preserve">Consolider trimestriellement les données du 1er trimestre 2025 afin de clore formellement le suivi sur la totalité de la durée du projet (avril 2023 – mars 2025) et publier un chiffre final audité.</w:t>
      </w:r>
    </w:p>
    <w:p>
      <w:pPr>
        <w:pStyle w:val="ListParagraph"/>
        <w:numPr>
          <w:ilvl w:val="0"/>
          <w:numId w:val="2"/>
        </w:numPr>
        <w:spacing w:after="90"/>
      </w:pPr>
      <w:r>
        <w:rPr>
          <w:b w:val="false"/>
          <w:bCs w:val="false"/>
          <w:color w:val="161F19"/>
          <w:sz w:val="21"/>
          <w:szCs w:val="21"/>
        </w:rPr>
        <w:t xml:space="preserve">Capitaliser sur la dynamique du T2 2024 (pic de 78 082 nouveaux ménages) : documenter les facteurs de succès de ce trimestre (campagne de distribution d'intrants) pour la conception des futures interventions à fort impact.</w:t>
      </w:r>
    </w:p>
    <w:p>
      <w:pPr>
        <w:pStyle w:val="ListParagraph"/>
        <w:numPr>
          <w:ilvl w:val="0"/>
          <w:numId w:val="2"/>
        </w:numPr>
        <w:spacing w:after="90"/>
      </w:pPr>
      <w:r>
        <w:rPr>
          <w:b w:val="false"/>
          <w:bCs w:val="false"/>
          <w:color w:val="161F19"/>
          <w:sz w:val="21"/>
          <w:szCs w:val="21"/>
        </w:rPr>
        <w:t xml:space="preserve">Renforcer le suivi dans les territoires à faible couverture relative (Fizi : 0,2 % des ménages, Idjwi : 3,9 %) afin d'évaluer si cet écart reflète un choix de ciblage ou une contrainte d'accès opérationnelle.</w:t>
      </w:r>
    </w:p>
    <w:p>
      <w:pPr>
        <w:pStyle w:val="ListParagraph"/>
        <w:numPr>
          <w:ilvl w:val="0"/>
          <w:numId w:val="2"/>
        </w:numPr>
        <w:spacing w:after="90"/>
      </w:pPr>
      <w:r>
        <w:rPr>
          <w:b w:val="false"/>
          <w:bCs w:val="false"/>
          <w:color w:val="161F19"/>
          <w:sz w:val="21"/>
          <w:szCs w:val="21"/>
        </w:rPr>
        <w:t xml:space="preserve">Analyser les freins à la participation féminine dans les activités d'élevage portées par VSF (37,0 % de femmes) et à Uvira (47,0 %), en s'appuyant sur les territoires et partenaires les plus performants (Idjwi 66,8 %, SARCAF 64,2 %) comme repères internes.</w:t>
      </w:r>
    </w:p>
    <w:p>
      <w:pPr>
        <w:pStyle w:val="ListParagraph"/>
        <w:numPr>
          <w:ilvl w:val="0"/>
          <w:numId w:val="2"/>
        </w:numPr>
        <w:spacing w:after="90"/>
      </w:pPr>
      <w:r>
        <w:rPr>
          <w:b w:val="false"/>
          <w:bCs w:val="false"/>
          <w:color w:val="161F19"/>
          <w:sz w:val="21"/>
          <w:szCs w:val="21"/>
        </w:rPr>
        <w:t xml:space="preserve">Rapprocher, pour le prochain rapport, les données de suivi des ménages avec les données financières par partenaire/territoire afin de produire un indicateur de coût par ménage atteint — un argument déterminant pour les bailleurs en phase de renouvellement de financement.</w:t>
      </w:r>
    </w:p>
    <w:p>
      <w:pPr>
        <w:pStyle w:val="ListParagraph"/>
        <w:numPr>
          <w:ilvl w:val="0"/>
          <w:numId w:val="2"/>
        </w:numPr>
        <w:spacing w:after="90"/>
      </w:pPr>
      <w:r>
        <w:rPr>
          <w:b w:val="false"/>
          <w:bCs w:val="false"/>
          <w:color w:val="161F19"/>
          <w:sz w:val="21"/>
          <w:szCs w:val="21"/>
        </w:rPr>
        <w:t xml:space="preserve">Maintenir le pipeline reproductible (script Stata fourni) comme standard de production des indicateurs de suivi, afin de fiabiliser les prochains rapports et de permettre un audit indépendant rapide des chiffres communiqués aux bailleurs.</w:t>
      </w:r>
    </w:p>
    <w:p>
      <w:pPr>
        <w:pStyle w:val="Heading1"/>
        <w:pBdr>
          <w:bottom w:val="single" w:color="1D7A4C" w:sz="6" w:space="6"/>
        </w:pBdr>
        <w:spacing w:after="200" w:before="420"/>
      </w:pPr>
      <w:r>
        <w:rPr>
          <w:b/>
          <w:bCs/>
          <w:color w:val="14603A"/>
          <w:sz w:val="30"/>
          <w:szCs w:val="30"/>
        </w:rPr>
        <w:t xml:space="preserve">Annexe — Sources et livrables associés</w:t>
      </w:r>
    </w:p>
    <w:p>
      <w:pPr>
        <w:pStyle w:val="ListParagraph"/>
        <w:numPr>
          <w:ilvl w:val="0"/>
          <w:numId w:val="2"/>
        </w:numPr>
        <w:spacing w:after="90"/>
      </w:pPr>
      <w:r>
        <w:rPr>
          <w:b w:val="false"/>
          <w:bCs w:val="false"/>
          <w:color w:val="161F19"/>
          <w:sz w:val="21"/>
          <w:szCs w:val="21"/>
        </w:rPr>
        <w:t xml:space="preserve">Rikolto_Project_participants_todate_08_07_without_duplicates_189 461.xlsx — cumul à date, T2 2023 à T3 2024 (partiel)</w:t>
      </w:r>
    </w:p>
    <w:p>
      <w:pPr>
        <w:pStyle w:val="ListParagraph"/>
        <w:numPr>
          <w:ilvl w:val="0"/>
          <w:numId w:val="2"/>
        </w:numPr>
        <w:spacing w:after="90"/>
      </w:pPr>
      <w:r>
        <w:rPr>
          <w:b w:val="false"/>
          <w:bCs w:val="false"/>
          <w:color w:val="161F19"/>
          <w:sz w:val="21"/>
          <w:szCs w:val="21"/>
        </w:rPr>
        <w:t xml:space="preserve">Rikolto_Q3_0907_3009_Number_project_participants_without_duplicates_ 18 058.xlsx — lot T3 2024</w:t>
      </w:r>
    </w:p>
    <w:p>
      <w:pPr>
        <w:pStyle w:val="ListParagraph"/>
        <w:numPr>
          <w:ilvl w:val="0"/>
          <w:numId w:val="2"/>
        </w:numPr>
        <w:spacing w:after="90"/>
      </w:pPr>
      <w:r>
        <w:rPr>
          <w:b w:val="false"/>
          <w:bCs w:val="false"/>
          <w:color w:val="161F19"/>
          <w:sz w:val="21"/>
          <w:szCs w:val="21"/>
        </w:rPr>
        <w:t xml:space="preserve">Rikolto_Number_participants_Q4_2024_without_duplicates_ 54 250.xlsx — lot T4 2024</w:t>
      </w:r>
    </w:p>
    <w:p>
      <w:pPr>
        <w:pStyle w:val="ListParagraph"/>
        <w:numPr>
          <w:ilvl w:val="0"/>
          <w:numId w:val="2"/>
        </w:numPr>
        <w:spacing w:after="90"/>
      </w:pPr>
      <w:r>
        <w:rPr>
          <w:b w:val="false"/>
          <w:bCs w:val="false"/>
          <w:color w:val="161F19"/>
          <w:sz w:val="21"/>
          <w:szCs w:val="21"/>
        </w:rPr>
        <w:t xml:space="preserve">AID-I_2025_Infographie achivement Y23-Y25.pdf — infographie officielle de clôture du projet (USAID / Feed the Future)</w:t>
      </w:r>
    </w:p>
    <w:p>
      <w:pPr>
        <w:pStyle w:val="ListParagraph"/>
        <w:numPr>
          <w:ilvl w:val="0"/>
          <w:numId w:val="2"/>
        </w:numPr>
        <w:spacing w:after="90"/>
      </w:pPr>
      <w:r>
        <w:rPr>
          <w:b w:val="false"/>
          <w:bCs w:val="false"/>
          <w:color w:val="161F19"/>
          <w:sz w:val="21"/>
          <w:szCs w:val="21"/>
        </w:rPr>
        <w:t xml:space="preserve">aidi_menages_base_consolidee.csv / .dta — base consolidée et dédupliquée (261 765 lignes)</w:t>
      </w:r>
    </w:p>
    <w:p>
      <w:pPr>
        <w:pStyle w:val="ListParagraph"/>
        <w:numPr>
          <w:ilvl w:val="0"/>
          <w:numId w:val="2"/>
        </w:numPr>
        <w:spacing w:after="90"/>
      </w:pPr>
      <w:r>
        <w:rPr>
          <w:b w:val="false"/>
          <w:bCs w:val="false"/>
          <w:color w:val="161F19"/>
          <w:sz w:val="21"/>
          <w:szCs w:val="21"/>
        </w:rPr>
        <w:t xml:space="preserve">analyse_menages_AID-I.do — script Stata reproduisant l'import, la déduplication et les tabulations de ce rapport</w:t>
      </w:r>
    </w:p>
    <w:p>
      <w:pPr>
        <w:pStyle w:val="ListParagraph"/>
        <w:numPr>
          <w:ilvl w:val="0"/>
          <w:numId w:val="2"/>
        </w:numPr>
        <w:spacing w:after="90"/>
      </w:pPr>
      <w:r>
        <w:rPr>
          <w:b w:val="false"/>
          <w:bCs w:val="false"/>
          <w:color w:val="161F19"/>
          <w:sz w:val="21"/>
          <w:szCs w:val="21"/>
        </w:rPr>
        <w:t xml:space="preserve">Tableau de bord interactif en ligne — synthèse visuelle des indicateurs de ce rapport</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089"/>
        <w:sz w:val="15"/>
        <w:szCs w:val="15"/>
      </w:rPr>
      <w:t xml:space="preserve">Page </w:t>
    </w:r>
    <w:r>
      <w:rPr>
        <w:color w:val="8A9089"/>
        <w:sz w:val="15"/>
        <w:szCs w:val="15"/>
      </w:rPr>
      <w:fldChar w:fldCharType="begin"/>
      <w:instrText xml:space="preserve">PAGE</w:instrText>
      <w:fldChar w:fldCharType="separate"/>
      <w:fldChar w:fldCharType="end"/>
    </w:r>
    <w:r>
      <w:rPr>
        <w:color w:val="8A9089"/>
        <w:sz w:val="15"/>
        <w:szCs w:val="15"/>
      </w:rPr>
      <w:t xml:space="preserve"> / </w:t>
    </w:r>
    <w:r>
      <w:rPr>
        <w:color w:val="8A908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089"/>
        <w:sz w:val="15"/>
        <w:szCs w:val="15"/>
      </w:rPr>
      <w:t xml:space="preserve">AID-I — Rapport de suivi des réalisations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2026-09-21T14:33:06.091Z</dcterms:created>
  <dcterms:modified xsi:type="dcterms:W3CDTF">2026-09-21T14:33:06.101Z</dcterms:modified>
</cp:coreProperties>
</file>

<file path=docProps/custom.xml><?xml version="1.0" encoding="utf-8"?>
<Properties xmlns="http://schemas.openxmlformats.org/officeDocument/2006/custom-properties" xmlns:vt="http://schemas.openxmlformats.org/officeDocument/2006/docPropsVTypes"/>
</file>