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Rapport à la direction – Café &amp; Cacao 2019-2025</w:t>
      </w:r>
    </w:p>
    <w:p>
      <w:pPr/>
      <w:r>
        <w:rPr>
          <w:color w:val="56635C"/>
          <w:sz w:val="19"/>
        </w:rPr>
        <w:t xml:space="preserve">Rikolto RDC · </w:t>
      </w:r>
      <w:r>
        <w:rPr>
          <w:color w:val="56635C"/>
          <w:sz w:val="19"/>
        </w:rPr>
        <w:t>30 septembre 2026</w:t>
      </w:r>
      <w:r>
        <w:rPr>
          <w:color w:val="56635C"/>
          <w:sz w:val="19"/>
        </w:rPr>
        <w:t xml:space="preserve"> · Préparé par </w:t>
      </w:r>
      <w:r>
        <w:rPr>
          <w:color w:val="56635C"/>
          <w:sz w:val="19"/>
        </w:rPr>
        <w:t>Lucien Buzera</w:t>
      </w:r>
    </w:p>
    <w:p>
      <w:pPr>
        <w:pStyle w:val="Heading2"/>
      </w:pPr>
      <w:r>
        <w:t xml:space="preserve">Synthèse exécutive</w:t>
      </w:r>
    </w:p>
    <w:p>
      <w:pPr/>
      <w:r>
        <w:t xml:space="preserve">Le programme touche beaucoup plus de producteurs qu'en 2019, mais la base ne permet pas encore de démontrer un impact sur les revenus du café. Côté cacao, 6 ménages sur 10 dépassent le seuil de revenu vital de référence, mais seulement 4 sur 10 si l'on tient compte de la taille réelle des ménages.</w:t>
      </w:r>
    </w:p>
    <w:p>
      <w:pPr/>
      <w:r>
        <w:rPr>
          <w:b/>
        </w:rPr>
        <w:t xml:space="preserve">Cinq messages clés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Couverture café ×3,2</w:t>
      </w:r>
      <w:r>
        <w:t xml:space="preserve"> : 12 184 producteurs enregistrés en 2025, contre 3 864 en 2019. L'essentiel de la hausse vient de l'intégration de COOPADE (2024) et COOKURU (2025), pas d'une croissance des coopératives historiques (+68 % pour CKK et COOKKANZ).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Inclusion en progrès mais fragile</w:t>
      </w:r>
      <w:r>
        <w:t xml:space="preserve"> : 25,6 % de femmes en 2025 (21,6 % en 2019) et 44,7 % de jeunes de 15 à 35 ans. La part des jeunes était tombée à 32 % en 2023.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Les indicateurs économiques café sont calculés, pas mesurés</w:t>
      </w:r>
      <w:r>
        <w:t xml:space="preserve"> : production, chiffre d'affaires et marge découlent de paramètres fixes par campagne. Leur hausse (+716 % de CA estimé) reflète ces paramètres, pas une réalité de terrain.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Revenu cacao médian : 3 300 USD par an et par ménage</w:t>
      </w:r>
      <w:r>
        <w:t xml:space="preserve">, pour un seuil de revenu vital de 2 628 USD (Anker, RDC rurale 2025). Mais 80 % des ménages vivent avec moins de 2,15 USD par personne et par jour, car les ménages comptent 10,3 personnes en moyenne.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Forte dépendance au cacao</w:t>
      </w:r>
      <w:r>
        <w:t xml:space="preserve"> : 87 % du revenu net vient du cacao. Une baisse du prix mondial toucherait directement la quasi-totalité du revenu.</w:t>
      </w:r>
    </w:p>
    <w:p>
      <w:pPr/>
      <w:r>
        <w:rPr>
          <w:b/>
        </w:rPr>
        <w:t xml:space="preserve">Décisions attendues de la direction</w:t>
      </w:r>
    </w:p>
    <w:p>
      <w:pPr>
        <w:pStyle w:val="ListParagraph"/>
        <w:numPr>
          <w:ilvl w:val="0"/>
          <w:numId w:val="3"/>
        </w:numPr>
      </w:pPr>
      <w:r>
        <w:t xml:space="preserve">Valider la base café comme </w:t>
      </w:r>
      <w:r>
        <w:rPr>
          <w:b/>
        </w:rPr>
        <w:t xml:space="preserve">référentiel des bénéficiaires</w:t>
      </w:r>
      <w:r>
        <w:t xml:space="preserve"> (effectifs, genre, âge, coopérative), mais </w:t>
      </w:r>
      <w:r>
        <w:rPr>
          <w:b/>
        </w:rPr>
        <w:t xml:space="preserve">pas</w:t>
      </w:r>
      <w:r>
        <w:t xml:space="preserve"> comme source d'indicateurs de revenu.</w:t>
      </w:r>
    </w:p>
    <w:p>
      <w:pPr>
        <w:pStyle w:val="ListParagraph"/>
        <w:numPr>
          <w:ilvl w:val="0"/>
          <w:numId w:val="3"/>
        </w:numPr>
      </w:pPr>
      <w:r>
        <w:t xml:space="preserve">Financer une </w:t>
      </w:r>
      <w:r>
        <w:rPr>
          <w:b/>
        </w:rPr>
        <w:t xml:space="preserve">collecte de ventes réelles</w:t>
      </w:r>
      <w:r>
        <w:t xml:space="preserve"> par producteur de café dès la campagne 2026.</w:t>
      </w:r>
    </w:p>
    <w:p>
      <w:pPr>
        <w:pStyle w:val="ListParagraph"/>
        <w:numPr>
          <w:ilvl w:val="0"/>
          <w:numId w:val="3"/>
        </w:numPr>
      </w:pPr>
      <w:r>
        <w:t xml:space="preserve">Retenir le </w:t>
      </w:r>
      <w:r>
        <w:rPr>
          <w:b/>
        </w:rPr>
        <w:t xml:space="preserve">seuil ajusté à la taille du ménage</w:t>
      </w:r>
      <w:r>
        <w:t xml:space="preserve"> comme indicateur principal de revenu vital cacao.</w:t>
      </w:r>
    </w:p>
    <w:p>
      <w:pPr>
        <w:pStyle w:val="ListParagraph"/>
        <w:numPr>
          <w:ilvl w:val="0"/>
          <w:numId w:val="3"/>
        </w:numPr>
      </w:pPr>
      <w:r>
        <w:t xml:space="preserve">Lancer un </w:t>
      </w:r>
      <w:r>
        <w:rPr>
          <w:b/>
        </w:rPr>
        <w:t xml:space="preserve">plan de diversification des revenus</w:t>
      </w:r>
      <w:r>
        <w:t xml:space="preserve"> cacao, en priorité à Babungwe et Mambasa.</w:t>
      </w:r>
    </w:p>
    <w:p>
      <w:pPr>
        <w:pStyle w:val="ListParagraph"/>
        <w:numPr>
          <w:ilvl w:val="0"/>
          <w:numId w:val="3"/>
        </w:numPr>
      </w:pPr>
      <w:r>
        <w:t xml:space="preserve">Adopter le </w:t>
      </w:r>
      <w:r>
        <w:rPr>
          <w:b/>
        </w:rPr>
        <w:t xml:space="preserve">jeu de 12 indicateurs bailleur</w:t>
      </w:r>
      <w:r>
        <w:t xml:space="preserve"> proposé plus bas.</w:t>
      </w:r>
    </w:p>
    <w:p>
      <w:pPr>
        <w:pStyle w:val="Heading2"/>
      </w:pPr>
      <w:r>
        <w:t xml:space="preserve">Périmètre, sources et méthode</w:t>
      </w:r>
    </w:p>
    <w:p>
      <w:pPr/>
      <w:r>
        <w:t xml:space="preserve">L'analyse couvre trois bases, nettoyées puis rapprochées dans un seul modèle Power BI.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w="234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</w:t>
            </w:r>
          </w:p>
        </w:tc>
        <w:tc>
          <w:tcPr>
            <w:tcW w:w="234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Contenu</w:t>
            </w:r>
          </w:p>
        </w:tc>
        <w:tc>
          <w:tcPr>
            <w:tcW w:w="234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Volume</w:t>
            </w:r>
          </w:p>
        </w:tc>
        <w:tc>
          <w:tcPr>
            <w:tcW w:w="234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Période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consolidée Rikolto café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Un producteur par campagne : identité, coopérative, superficie, production, CA, marge, certification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42 433 lignes, 12 833 personnes, 4 coopératives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Campagnes 2019 à 2025</w:t>
            </w:r>
          </w:p>
        </w:tc>
      </w:tr>
      <w:tr>
        <w:tc>
          <w:tcPr>
            <w:tcW w:w="234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 Living Income cacao</w:t>
            </w:r>
          </w:p>
        </w:tc>
        <w:tc>
          <w:tcPr>
            <w:tcW w:w="234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Revenus et dépenses détaillés des ménages Cacao Okapi (663 variables)</w:t>
            </w:r>
          </w:p>
        </w:tc>
        <w:tc>
          <w:tcPr>
            <w:tcW w:w="234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88 ménages valides sur 90</w:t>
            </w:r>
          </w:p>
        </w:tc>
        <w:tc>
          <w:tcPr>
            <w:tcW w:w="234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Mars 2024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Liste des planteurs Cacao Okapi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Code, section, corporation, superficie totale et cacao, nombre de tiges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301 planteurs, 5 sections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Liste 2024</w:t>
            </w:r>
          </w:p>
        </w:tc>
      </w:tr>
    </w:tbl>
    <w:p>
      <w:pPr/>
      <w:r>
        <w:rPr>
          <w:b/>
        </w:rPr>
        <w:t xml:space="preserve">Seuil de revenu vital.</w:t>
      </w:r>
      <w:r>
        <w:t xml:space="preserve"> Nous utilisons la valeur de référence Anker pour la RDC rurale, mise à jour 2025 : 219 USD par mois, soit </w:t>
      </w:r>
      <w:r>
        <w:rPr>
          <w:b/>
        </w:rPr>
        <w:t xml:space="preserve">2 628 USD par an</w:t>
      </w:r>
      <w:r>
        <w:t xml:space="preserve"> pour un ménage de référence de 6 personnes (</w:t>
      </w:r>
      <w:hyperlink r:id="rId3" w:history="1">
        <w:r>
          <w:rPr>
            <w:rStyle w:val="Hyperlink"/>
          </w:rPr>
          <w:t xml:space="preserve">Anker Research Institute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rapport 2021</w:t>
        </w:r>
      </w:hyperlink>
      <w:r>
        <w:t xml:space="preserve">). Comme les ménages enquêtés comptent 10,3 personnes en moyenne, nous calculons aussi un </w:t>
      </w:r>
      <w:r>
        <w:rPr>
          <w:b/>
        </w:rPr>
        <w:t xml:space="preserve">seuil ajusté</w:t>
      </w:r>
      <w:r>
        <w:t xml:space="preserve"> proportionnel à leur taille (438 USD par personne et par an). Ce seuil ajusté est prudent : il ne tient pas compte des économies d'échelle des grands ménages.</w:t>
      </w:r>
    </w:p>
    <w:p>
      <w:pPr/>
      <w:r>
        <w:rPr>
          <w:b/>
        </w:rPr>
        <w:t xml:space="preserve">Principaux traitements</w:t>
      </w:r>
    </w:p>
    <w:p>
      <w:pPr>
        <w:pStyle w:val="ListParagraph"/>
        <w:numPr>
          <w:ilvl w:val="0"/>
          <w:numId w:val="4"/>
        </w:numPr>
      </w:pPr>
      <w:r>
        <w:t xml:space="preserve">Revenu net cacao recalculé comme la somme des 7 sources de revenu. La variable « living_income » du questionnaire vaut en réalité revenu moins dépenses ; elle n'a pas été utilisée comme revenu.</w:t>
      </w:r>
    </w:p>
    <w:p>
      <w:pPr>
        <w:pStyle w:val="ListParagraph"/>
        <w:numPr>
          <w:ilvl w:val="0"/>
          <w:numId w:val="4"/>
        </w:numPr>
      </w:pPr>
      <w:r>
        <w:t xml:space="preserve">Sections de l'enquête rapprochées des 4 sections du rapport (Irumu → Mungamba, Bahaha → Babungwe), et orthographes normalisées.</w:t>
      </w:r>
    </w:p>
    <w:p>
      <w:pPr>
        <w:pStyle w:val="ListParagraph"/>
        <w:numPr>
          <w:ilvl w:val="0"/>
          <w:numId w:val="4"/>
        </w:numPr>
      </w:pPr>
      <w:r>
        <w:t xml:space="preserve">Base café : rétro-ingénierie des formules de calcul, contrôle des doublons, de la complétude et de la cohérence des âges d'une année sur l'autre.</w:t>
      </w:r>
    </w:p>
    <w:p>
      <w:pPr>
        <w:pStyle w:val="ListParagraph"/>
        <w:numPr>
          <w:ilvl w:val="0"/>
          <w:numId w:val="4"/>
        </w:numPr>
      </w:pPr>
      <w:r>
        <w:t xml:space="preserve">23 contrôles qualité consignés dans un registre, repris dans le dashboard.</w:t>
      </w:r>
    </w:p>
    <w:p>
      <w:pPr>
        <w:pStyle w:val="Heading2"/>
      </w:pPr>
      <w:r>
        <w:t xml:space="preserve">Café : bénéficiaires, inclusion et fidélisation</w:t>
      </w:r>
    </w:p>
    <w:p>
      <w:pPr/>
      <w:r>
        <w:t xml:space="preserve">La base café est fiable pour compter et décrire les bénéficiaires : identité, sexe, âge et coopérative sont renseignés pour plus de 99 % des lignes.</w:t>
      </w:r>
    </w:p>
    <w:p>
      <w:pPr>
        <w:jc w:val="center"/>
      </w:pPr>
      <w:r>
        <w:drawing>
          <wp:inline distT="0" distB="0" distL="0" distR="0">
            <wp:extent cx="5486400" cy="2792185"/>
            <wp:docPr id="1" name="image1" descr="Base consolidée Rikolto café 2019-2025 · lignes par campagne et coopérativ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ase consolidée Rikolto café 2019-2025 · lignes par campagne et coopérativ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  <w:color w:val="56635C"/>
          <w:sz w:val="17"/>
        </w:rPr>
        <w:t xml:space="preserve">Base consolidée Rikolto café 2019-2025 · lignes par campagne et coopérative</w:t>
      </w:r>
    </w:p>
    <w:p>
      <w:pPr/>
      <w:r>
        <w:t xml:space="preserve">La croissance des coopératives historiques est réelle mais modérée : CKK et COOKKANZ passent de 3 864 à 6 506 producteurs (+68 %). Le fort taux de rétention (96,5 à 99,6 % par an depuis 2022) montre une base fidèle : 3 216 producteurs sont présents lors des 7 campagnes.</w:t>
      </w:r>
    </w:p>
    <w:p>
      <w:pPr>
        <w:jc w:val="center"/>
      </w:pPr>
      <w:r>
        <w:drawing>
          <wp:inline distT="0" distB="0" distL="0" distR="0">
            <wp:extent cx="5486400" cy="2432957"/>
            <wp:docPr id="2" name="image2" descr="Base consolidée Rikolto café 2019-2025 · âge connu pour 99 % des lig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ase consolidée Rikolto café 2019-2025 · âge connu pour 99 % des lign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  <w:color w:val="56635C"/>
          <w:sz w:val="17"/>
        </w:rPr>
        <w:t xml:space="preserve">Base consolidée Rikolto café 2019-2025 · âge connu pour 99 % des lignes</w:t>
      </w:r>
    </w:p>
    <w:p>
      <w:pPr/>
      <w:r>
        <w:rPr>
          <w:b/>
        </w:rPr>
        <w:t xml:space="preserve">Profil des coopératives en 2025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tblHeader w:val="true"/>
        </w:trPr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Coopérative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Producteurs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Femmes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Jeunes 15-35 ans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Superficie moyenne (ha)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Certifiés conformes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COOPADE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4 082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26,5 %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49,8 %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0,56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COOKKANZ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3 316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12,0 %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56,2 %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0,55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CKK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3 190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32,4 %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23,6 %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0,56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COOKURU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1 596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37,9 %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50,1 %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0,54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0 % (en conversion)</w:t>
            </w:r>
          </w:p>
        </w:tc>
      </w:tr>
    </w:tbl>
    <w:p>
      <w:pPr/>
      <w:r>
        <w:t xml:space="preserve">Deux écarts appellent une action ciblée : COOKKANZ ne compte que 12 % de femmes, et CKK seulement 24 % de jeunes. La certification atteint 87 % des producteurs en 2025 ; les 13 % restants sont les membres de COOKURU, encore en conversion.</w:t>
      </w:r>
    </w:p>
    <w:p>
      <w:pPr>
        <w:pStyle w:val="Heading2"/>
      </w:pPr>
      <w:r>
        <w:t xml:space="preserve">Café : production et économie, des estimations à ne pas présenter comme des résultats</w:t>
      </w:r>
    </w:p>
    <w:p>
      <w:pPr/>
      <w:r>
        <w:t xml:space="preserve">Les chiffres de production, de chiffre d'affaires et de marge de la base café sont entièrement calculés par formule. Ils ne peuvent pas servir à démontrer une hausse des revenus.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3120"/>
        <w:gridCol w:w="3120"/>
        <w:gridCol w:w="3120"/>
      </w:tblGrid>
      <w:tr>
        <w:trPr>
          <w:tblHeader/>
          <w:tblHeader w:val="true"/>
        </w:trPr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Variable</w:t>
            </w:r>
          </w:p>
        </w:tc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Comment elle est obtenue dans la base</w:t>
            </w:r>
          </w:p>
        </w:tc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 des lignes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Production de cerise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Superficie × densité × rendement par pied ; densité de 1 000 à 1 620 pieds/ha et rendement de 1,5 à 2,5 kg/pied selon la campagne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Chiffre d'affaires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Production × 0,55 USD/kg, un prix unique de 2019 à 2025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Coût et marge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Coût = 40 % du CA ; marge = 60 % du CA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</w:tr>
      <w:tr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« Prix unitaire »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Reprend en réalité le taux de transformation cerise → parche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90 %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Marge par hectare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Second modèle contradictoire : négative en 2019-2020 alors que la marge totale est positive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19 %</w:t>
            </w:r>
          </w:p>
        </w:tc>
      </w:tr>
    </w:tbl>
    <w:p>
      <w:pPr/>
      <w:r>
        <w:t xml:space="preserve">Conséquence : le CA estimé passe de 1,8 à 14,5 millions USD entre 2019 et 2025, mais cette hausse vient à la fois du nombre de producteurs et du changement des paramètres de rendement. La superficie moyenne déclarée, elle, ne bouge pas : 0,55 ha par producteur chaque année.</w:t>
      </w:r>
    </w:p>
    <w:p>
      <w:pPr/>
      <w:r>
        <w:t xml:space="preserve">Le dashboard garde ces indicateurs, marqués « estimés », pour la continuité du reporting. Pour mesurer un vrai effet sur le revenu, il faut enregistrer les ventes réelles : kilos livrés à la coopérative et prix payé, par producteur et par campagne.</w:t>
      </w:r>
    </w:p>
    <w:p>
      <w:pPr>
        <w:pStyle w:val="Heading2"/>
      </w:pPr>
      <w:r>
        <w:t xml:space="preserve">Cacao : revenu des ménages et écart au revenu vital</w:t>
      </w:r>
    </w:p>
    <w:p>
      <w:pPr/>
      <w:r>
        <w:t xml:space="preserve">Le revenu net médian d'un ménage cacao est de 3 300 USD par an, soit 26 % au-dessus du seuil de revenu vital de référence. Mais ramené à la taille réelle des ménages, seul 40 % d'entre eux l'atteignent.</w:t>
      </w:r>
    </w:p>
    <w:p>
      <w:pPr>
        <w:jc w:val="center"/>
      </w:pPr>
      <w:r>
        <w:drawing>
          <wp:inline distT="0" distB="0" distL="0" distR="0">
            <wp:extent cx="5486400" cy="2579914"/>
            <wp:docPr id="3" name="image3" descr="Enquête Living Income Cacao Okapi, mars 2024 (88 ménages) · Anker Research Institute 2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nquête Living Income Cacao Okapi, mars 2024 (88 ménages) · Anker Research Institute 20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  <w:color w:val="56635C"/>
          <w:sz w:val="17"/>
        </w:rPr>
        <w:t xml:space="preserve">Enquête Living Income Cacao Okapi, mars 2024 (88 ménages) · Anker Research Institute 2025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4680"/>
        <w:gridCol w:w="4680"/>
      </w:tblGrid>
      <w:tr>
        <w:trPr>
          <w:tblHeader/>
          <w:tblHeader w:val="true"/>
        </w:trPr>
        <w:tc>
          <w:tcPr>
            <w:tcW w:w="468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Indicateur (88 ménages)</w:t>
            </w:r>
          </w:p>
        </w:tc>
        <w:tc>
          <w:tcPr>
            <w:tcW w:w="468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Valeur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Ménages au-dessus du seuil de référence (6 personnes)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59 %</w:t>
            </w:r>
          </w:p>
        </w:tc>
      </w:tr>
      <w:tr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Ménages au-dessus du seuil ajusté à leur taille</w:t>
            </w:r>
          </w:p>
        </w:tc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40 %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Revenu supplémentaire médian nécessaire pour les ménages sous le seuil ajusté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2 225 USD/an</w:t>
            </w:r>
          </w:p>
        </w:tc>
      </w:tr>
      <w:tr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Revenu médian par personne et par jour</w:t>
            </w:r>
          </w:p>
        </w:tc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0,97 USD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Ménages sous 2,15 USD par personne et par jour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80 %</w:t>
            </w:r>
          </w:p>
        </w:tc>
      </w:tr>
      <w:tr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Ménages dont les dépenses déclarées dépassent le revenu</w:t>
            </w:r>
          </w:p>
        </w:tc>
        <w:tc>
          <w:tcPr>
            <w:tcW w:w="468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18 %</w:t>
            </w:r>
          </w:p>
        </w:tc>
      </w:tr>
    </w:tbl>
    <w:p>
      <w:pPr/>
      <w:r>
        <w:t xml:space="preserve">Mayuano s'en sort le mieux grâce à un rendement deux fois plus élevé (875 kg/ha contre 435 à 485 kg/ha ailleurs) et à des ménages plus petits (7,8 personnes), malgré un prix de vente moitié moindre (2,06 USD/kg contre environ 4 USD/kg). À vérifier : ce prix bas peut indiquer une vente de fèves fraîches plutôt que séchées.</w:t>
      </w:r>
    </w:p>
    <w:p>
      <w:pPr>
        <w:jc w:val="center"/>
      </w:pPr>
      <w:r>
        <w:drawing>
          <wp:inline distT="0" distB="0" distL="0" distR="0">
            <wp:extent cx="5486400" cy="2392135"/>
            <wp:docPr id="4" name="image4" descr="Enquête Living Income Cacao Okapi, mars 2024 · revenus nets annuels en US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nquête Living Income Cacao Okapi, mars 2024 · revenus nets annuels en U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  <w:color w:val="56635C"/>
          <w:sz w:val="17"/>
        </w:rPr>
        <w:t xml:space="preserve">Enquête Living Income Cacao Okapi, mars 2024 · revenus nets annuels en USD</w:t>
      </w:r>
    </w:p>
    <w:p>
      <w:pPr/>
      <w:r>
        <w:t xml:space="preserve">Les leviers sont donc le rendement (médian 567 kg/ha, alors que 38 % des superficies déclarées ne sont pas encore en production), la diversification des revenus et la qualité, qui détermine le prix. </w:t>
      </w:r>
      <w:r>
        <w:rPr>
          <w:b/>
        </w:rPr>
        <w:t xml:space="preserve">Limites</w:t>
      </w:r>
      <w:r>
        <w:t xml:space="preserve"> : l'échantillon ne compte que 6 femmes chefs de ménage, et 6 ménages présentent des valeurs extrêmes (jusqu'à 44 ha et 59 705 USD). Les résultats par sous-groupe sont indicatifs.</w:t>
      </w:r>
    </w:p>
    <w:p>
      <w:pPr>
        <w:pStyle w:val="Heading2"/>
      </w:pPr>
      <w:r>
        <w:t xml:space="preserve">Qualité des données et avis pour le PV de validation</w:t>
      </w:r>
    </w:p>
    <w:p>
      <w:pPr/>
      <w:r>
        <w:t xml:space="preserve">Avis proposé : </w:t>
      </w:r>
      <w:r>
        <w:rPr>
          <w:b/>
        </w:rPr>
        <w:t xml:space="preserve">validation partielle</w:t>
      </w:r>
      <w:r>
        <w:t xml:space="preserve">. La base café peut être validée comme référentiel des bénéficiaires, mais pas pour ses indicateurs économiques. Sur 23 contrôles, 4 sont critiques et 7 de gravité élevée.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tblHeader w:val="true"/>
        </w:trPr>
        <w:tc>
          <w:tcPr>
            <w:tcW w:w="1872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Gravité</w:t>
            </w:r>
          </w:p>
        </w:tc>
        <w:tc>
          <w:tcPr>
            <w:tcW w:w="1872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</w:t>
            </w:r>
          </w:p>
        </w:tc>
        <w:tc>
          <w:tcPr>
            <w:tcW w:w="1872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Anomalie</w:t>
            </w:r>
          </w:p>
        </w:tc>
        <w:tc>
          <w:tcPr>
            <w:tcW w:w="1872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Lignes concernées</w:t>
            </w:r>
          </w:p>
        </w:tc>
        <w:tc>
          <w:tcPr>
            <w:tcW w:w="1872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Action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Critique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Production, CA, coût et marge calculés par paramètres fixes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100 %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Ne pas les présenter comme mesurés ; collecter les ventes réelles</w:t>
            </w:r>
          </w:p>
        </w:tc>
      </w:tr>
      <w:tr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Critique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Cacao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« living_income » = revenu − dépenses, pas un revenu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88 ménages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Renommer la variable ; utiliser le revenu net recalculé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Territoire manquant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36 %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Compléter depuis la liste village → territoire</w:t>
            </w:r>
          </w:p>
        </w:tc>
      </w:tr>
      <w:tr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Certification non renseignée (surtout 2022 et 2024)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14 %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Reprendre les rapports d'audit des campagnes concernées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Numéro de carte partagé par plusieurs lignes d'une même campagne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2 099 lignes (4,9 %)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Dédoublonner avec les coopératives</w:t>
            </w:r>
          </w:p>
        </w:tc>
      </w:tr>
      <w:tr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« Prix unitaire » égal au taux de transformation cerise → parche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90 %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Corriger la formule ou supprimer la colonne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Marge par hectare négative alors que la marge est positive (2019-2020)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19 %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Supprimer le second modèle</w:t>
            </w:r>
          </w:p>
        </w:tc>
      </w:tr>
      <w:tr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Rupture de série en 2024 (+4 922 nouveaux producteurs)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53 % de 2024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Toujours distinguer périmètre historique et nouvelles OP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Élevée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Cacao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Seulement 6 femmes sur 88 ménages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7 %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Sur-échantillonner les femmes lors de la prochaine enquête</w:t>
            </w:r>
          </w:p>
        </w:tc>
      </w:tr>
      <w:tr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Moyenne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Café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Âge incohérent d'une année à l'autre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7,9 % des suivis</w:t>
            </w:r>
          </w:p>
        </w:tc>
        <w:tc>
          <w:tcPr>
            <w:tcW w:w="1872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Contrôler l'identifiant longitudinal</w:t>
            </w:r>
          </w:p>
        </w:tc>
      </w:tr>
      <w:tr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Moyenne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Okapi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28 codes planteurs en doublon ; nombre de tiges estimé (1 100 par ha)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9 % et 76 %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Recompter les tiges lors du prochain inventaire</w:t>
            </w:r>
          </w:p>
        </w:tc>
      </w:tr>
    </w:tbl>
    <w:p>
      <w:pPr/>
      <w:r>
        <w:t xml:space="preserve">Le registre complet des 23 contrôles se trouve dans la page « Qualité des données » du dashboard et dans le fichier qualite_controles.csv. Il peut être annexé tel quel au PV de validation.</w:t>
      </w:r>
    </w:p>
    <w:p>
      <w:pPr>
        <w:pStyle w:val="Heading2"/>
      </w:pPr>
      <w:r>
        <w:t xml:space="preserve">Indicateurs proposés pour le reporting bailleur</w:t>
      </w:r>
    </w:p>
    <w:p>
      <w:pPr/>
      <w:r>
        <w:t xml:space="preserve">Nous proposons 12 indicateurs : 9 sont déjà calculables et fiables, 3 demandent une collecte nouvelle. Les valeurs de référence servent de point de départ pour fixer les cibles.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tblHeader w:val="true"/>
        </w:trPr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N°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Indicateur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Niveau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Valeur actuelle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tcW w:w="156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Fiabilité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Producteurs de café appuyés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Réalisation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12 184 (2025)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Bonne, après dédoublonnage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Part des femmes parmi les producteurs de café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Inclusion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25,6 % (2025)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Bonne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Part des jeunes (15-35 ans) parmi les producteurs de café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Inclusion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44,7 % (2025)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Bonne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Taux de rétention annuel des membres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Résultat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99,6 % (2024 → 2025)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Bonne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Producteurs certifiés bio / fairtrade conformes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Résultat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86,9 % (2025)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Moyenne : statut manquant certaines années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Superficie de café sous gestion certifiée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Résultat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6 770 ha déclarés (2025)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Moyenne : déclaratif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Ménages cacao atteignant le revenu vital (seuil ajusté à la taille)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Impact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40 % (2024)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 Living Income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Indicative : 88 ménages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Écart médian au revenu vital des ménages sous le seuil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Impact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2 225 USD/an (2024)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 Living Income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Indicative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Part du cacao dans le revenu net des ménages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Résilience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87 % (2024)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 Living Income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Indicative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10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Revenu net café par producteur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Impact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À mesurer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Ventes réelles (à créer)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Prix moyen payé au producteur de café (USD/kg)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Résultat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À mesurer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Bordereaux d'achat des coopératives</w:t>
            </w:r>
          </w:p>
        </w:tc>
        <w:tc>
          <w:tcPr>
            <w:tcW w:w="156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12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Rendement cacao (kg/ha productif)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Résultat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567 kg/ha (2024)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Enquête, puis suivi annuel</w:t>
            </w:r>
          </w:p>
        </w:tc>
        <w:tc>
          <w:tcPr>
            <w:tcW w:w="156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Indicative</w:t>
            </w:r>
          </w:p>
        </w:tc>
      </w:tr>
    </w:tbl>
    <w:p>
      <w:pPr/>
      <w:r>
        <w:t xml:space="preserve">Pour les indicateurs 7 à 9, il faut refaire l'enquête avec le même questionnaire à intervalle régulier, par exemple tous les 2 ans, sur un échantillon d'au moins 200 ménages dont 30 % de femmes.</w:t>
      </w:r>
    </w:p>
    <w:p>
      <w:pPr>
        <w:pStyle w:val="Heading2"/>
      </w:pPr>
      <w:r>
        <w:t xml:space="preserve">Recommandations et feuille de route</w:t>
      </w:r>
    </w:p>
    <w:p>
      <w:pPr/>
      <w:r>
        <w:t xml:space="preserve">La priorité est de passer d'indicateurs calculés à des revenus mesurés, sans perdre la continuité du reporting.</w:t>
      </w:r>
    </w:p>
    <w:p>
      <w:pPr>
        <w:jc w:val="center"/>
      </w:pPr>
      <w:r>
        <w:drawing>
          <wp:inline distT="0" distB="0" distL="0" distR="0">
            <wp:extent cx="5486400" cy="2792185"/>
            <wp:docPr id="5" name="image5" descr="Feuille de route proposée · 3 phases, 2 décis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euille de route proposée · 3 phases, 2 décision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  <w:color w:val="56635C"/>
          <w:sz w:val="17"/>
        </w:rPr>
        <w:t xml:space="preserve">Feuille de route proposée · 3 phases, 2 décisions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Données</w:t>
      </w:r>
      <w:r>
        <w:t xml:space="preserve"> : signer un PV de validation partielle, puis corriger les 11 anomalies critiques et élevées listées plus haut avant la campagne 2026-2027.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Mesure du revenu café</w:t>
      </w:r>
      <w:r>
        <w:t xml:space="preserve"> : enregistrer pour chaque producteur les kilos livrés et le prix payé. Les coopératives disposent déjà de ces données dans leurs bordereaux d'achat.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Revenu vital cacao</w:t>
      </w:r>
      <w:r>
        <w:t xml:space="preserve"> : suivre l'indicateur ajusté à la taille des ménages et viser les leviers rendement (superficies non productives, 38 %) et diversification (13 % du revenu hors cacao aujourd'hui).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Inclusion</w:t>
      </w:r>
      <w:r>
        <w:t xml:space="preserve"> : fixer des cibles par coopérative plutôt qu'une cible globale, pour que la hausse venant des nouvelles OP ne masque pas les écarts de COOKKANZ (femmes) et de CKK (jeunes).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Pilotage</w:t>
      </w:r>
      <w:r>
        <w:t xml:space="preserve"> : utiliser le dashboard Power BI en comité de direction trimestriel, avec la page Qualité comme point permanent de l'ordre du jour.</w:t>
      </w:r>
    </w:p>
    <w:p>
      <w:pPr>
        <w:pStyle w:val="Heading2"/>
      </w:pPr>
      <w:r>
        <w:t xml:space="preserve">Annexes</w:t>
      </w:r>
    </w:p>
    <w:p>
      <w:pPr/>
      <w:r>
        <w:rPr>
          <w:b/>
        </w:rPr>
        <w:t xml:space="preserve">A. Dashboard Power BI.</w:t>
      </w:r>
      <w:r>
        <w:t xml:space="preserve"> Le projet </w:t>
      </w:r>
      <w:r>
        <w:rPr>
          <w:rStyle w:val="CodeChar"/>
        </w:rPr>
        <w:t xml:space="preserve">Livrables/PowerBI/Rikolto_Cafe_Cacao.pbip</w:t>
      </w:r>
      <w:r>
        <w:t xml:space="preserve"> s'ouvre dans Power BI Desktop. Il contient 7 tables, 47 mesures DAX et 5 pages, lisibles dans cet ordre :</w:t>
      </w:r>
    </w:p>
    <w:p>
      <w:pPr>
        <w:pStyle w:val="ListParagraph"/>
        <w:numPr>
          <w:ilvl w:val="0"/>
          <w:numId w:val="6"/>
        </w:numPr>
      </w:pPr>
      <w:r>
        <w:t xml:space="preserve">Synthèse direction : effectifs, inclusion, production et revenu vital en un écran.</w:t>
      </w:r>
    </w:p>
    <w:p>
      <w:pPr>
        <w:pStyle w:val="ListParagraph"/>
        <w:numPr>
          <w:ilvl w:val="0"/>
          <w:numId w:val="6"/>
        </w:numPr>
      </w:pPr>
      <w:r>
        <w:t xml:space="preserve">Café – Bénéficiaires &amp; inclusion : effectifs par campagne et coopérative, part des femmes et des jeunes, rétention.</w:t>
      </w:r>
    </w:p>
    <w:p>
      <w:pPr>
        <w:pStyle w:val="ListParagraph"/>
        <w:numPr>
          <w:ilvl w:val="0"/>
          <w:numId w:val="6"/>
        </w:numPr>
      </w:pPr>
      <w:r>
        <w:t xml:space="preserve">Café – Production &amp; économie : superficie, production, chiffre d'affaires, avec l'avertissement sur les valeurs estimées.</w:t>
      </w:r>
    </w:p>
    <w:p>
      <w:pPr>
        <w:pStyle w:val="ListParagraph"/>
        <w:numPr>
          <w:ilvl w:val="0"/>
          <w:numId w:val="6"/>
        </w:numPr>
      </w:pPr>
      <w:r>
        <w:t xml:space="preserve">Cacao – Revenu vital : écart au seuil Anker, sources de revenu, planteurs Okapi.</w:t>
      </w:r>
    </w:p>
    <w:p>
      <w:pPr>
        <w:pStyle w:val="ListParagraph"/>
        <w:numPr>
          <w:ilvl w:val="0"/>
          <w:numId w:val="6"/>
        </w:numPr>
      </w:pPr>
      <w:r>
        <w:t xml:space="preserve">Qualité des données : les 23 contrôles du registre, par gravité.</w:t>
      </w:r>
    </w:p>
    <w:p>
      <w:pPr/>
      <w:r>
        <w:t xml:space="preserve">Les scripts </w:t>
      </w:r>
      <w:r>
        <w:rPr>
          <w:rStyle w:val="CodeChar"/>
        </w:rPr>
        <w:t xml:space="preserve">PowerBI/_generateur/build_model.py</w:t>
      </w:r>
      <w:r>
        <w:t xml:space="preserve"> et </w:t>
      </w:r>
      <w:r>
        <w:rPr>
          <w:rStyle w:val="CodeChar"/>
        </w:rPr>
        <w:t xml:space="preserve">build_report.py</w:t>
      </w:r>
      <w:r>
        <w:t xml:space="preserve"> régénèrent le modèle et les pages si les données changent.</w:t>
      </w:r>
    </w:p>
    <w:p>
      <w:pPr/>
      <w:r>
        <w:rPr>
          <w:b/>
        </w:rPr>
        <w:t xml:space="preserve">B. Fichiers de données livrés</w:t>
      </w:r>
      <w:r>
        <w:t xml:space="preserve"> (</w:t>
      </w:r>
      <w:r>
        <w:rPr>
          <w:rStyle w:val="CodeChar"/>
        </w:rPr>
        <w:t xml:space="preserve">Livrables/Donnees</w:t>
      </w:r>
      <w:r>
        <w:t xml:space="preserve">, CSV UTF-8)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space="0" w:color="DCE1DA"/>
          <w:left w:val="single" w:sz="4" w:space="0" w:color="DCE1DA"/>
          <w:bottom w:val="single" w:sz="4" w:space="0" w:color="DCE1DA"/>
          <w:right w:val="single" w:sz="4" w:space="0" w:color="DCE1DA"/>
          <w:insideH w:val="single" w:sz="4" w:space="0" w:color="DCE1DA"/>
          <w:insideV w:val="single" w:sz="4" w:space="0" w:color="DCE1DA"/>
        </w:tblBorders>
      </w:tblPr>
      <w:tblGrid>
        <w:gridCol w:w="3120"/>
        <w:gridCol w:w="3120"/>
        <w:gridCol w:w="3120"/>
      </w:tblGrid>
      <w:tr>
        <w:trPr>
          <w:tblHeader/>
          <w:tblHeader w:val="true"/>
        </w:trPr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Fichier</w:t>
            </w:r>
          </w:p>
        </w:tc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Contenu</w:t>
            </w:r>
          </w:p>
        </w:tc>
        <w:tc>
          <w:tcPr>
            <w:tcW w:w="3120" w:type="dxa"/>
            <w:shd w:val="clear" w:color="auto" w:fill="1F5C4A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Lignes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fact_cafe_producteurs.csv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Base café consolidée 2019-2025, une ligne par producteur et par campagne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42 433</w:t>
            </w:r>
          </w:p>
        </w:tc>
      </w:tr>
      <w:tr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fact_cacao_menages.csv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Enquête Living Income cacao, ménages retenus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88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fact_cacao_sources_revenu.csv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Revenus cacao par ménage et par source (format long)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616</w:t>
            </w:r>
          </w:p>
        </w:tc>
      </w:tr>
      <w:tr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fact_cacao_okapi_planteurs.csv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Liste des planteurs Cacao Okapi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301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qualite_controles.csv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Registre des contrôles qualité, base du PV de validation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23</w:t>
            </w:r>
          </w:p>
        </w:tc>
      </w:tr>
      <w:tr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parametres.csv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Seuils utilisés (revenu vital, taille de ménage, pauvreté extrême)</w:t>
            </w:r>
          </w:p>
        </w:tc>
        <w:tc>
          <w:tcPr>
            <w:tcW w:w="3120" w:type="dxa"/>
            <w:shd w:val="clear" w:color="auto" w:fill="F3F5F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</w:tr>
    </w:tbl>
    <w:p>
      <w:pPr/>
      <w:r>
        <w:rPr>
          <w:b/>
        </w:rPr>
        <w:t xml:space="preserve">C. Sources.</w:t>
      </w:r>
    </w:p>
    <w:p>
      <w:pPr>
        <w:pStyle w:val="ListParagraph"/>
        <w:numPr>
          <w:ilvl w:val="0"/>
          <w:numId w:val="7"/>
        </w:numPr>
      </w:pPr>
      <w:r>
        <w:t xml:space="preserve">DONNEES_RIKOLTO_CONSOLIDEES 2019-2025.xlsx (base café).</w:t>
      </w:r>
    </w:p>
    <w:p>
      <w:pPr>
        <w:pStyle w:val="ListParagraph"/>
        <w:numPr>
          <w:ilvl w:val="0"/>
          <w:numId w:val="7"/>
        </w:numPr>
      </w:pPr>
      <w:r>
        <w:t xml:space="preserve">Living Income Report : fichiers Check sections.xlsx et check yields.xlsx (enquête cacao, mars 2024).</w:t>
      </w:r>
    </w:p>
    <w:p>
      <w:pPr>
        <w:pStyle w:val="ListParagraph"/>
        <w:numPr>
          <w:ilvl w:val="0"/>
          <w:numId w:val="7"/>
        </w:numPr>
      </w:pPr>
      <w:r>
        <w:t xml:space="preserve">Liste Cacao Okapi vf.xlsx (planteurs).</w:t>
      </w:r>
    </w:p>
    <w:p>
      <w:pPr>
        <w:pStyle w:val="ListParagraph"/>
        <w:numPr>
          <w:ilvl w:val="0"/>
          <w:numId w:val="7"/>
        </w:numPr>
      </w:pPr>
      <w:r>
        <w:t xml:space="preserve">Anker Research Institute, valeur de référence du revenu vital, RDC rurale, mise à jour 2025.</w:t>
      </w:r>
    </w:p>
    <w:p>
      <w:pPr>
        <w:pStyle w:val="ListParagraph"/>
        <w:numPr>
          <w:ilvl w:val="0"/>
          <w:numId w:val="7"/>
        </w:numPr>
      </w:pPr>
      <w:r>
        <w:t xml:space="preserve">Banque mondiale, seuil de pauvreté extrême de 2,15 USD par personne et par jour (PPA 2017).</w:t>
      </w:r>
    </w:p>
    <w:sectPr>
      <w:headerReference w:type="default" r:id="rId10"/>
      <w:footerReference w:type="default" r:id="rId11"/>
      <w:pgSz w:w="12240" w:h="15840"/>
      <w:pgMar w:top="1134" w:right="1247" w:bottom="1134" w:left="1247" w:header="720" w:footer="72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6635C"/>
        <w:sz w:val="16"/>
      </w:rPr>
      <w:t xml:space="preserve">Page </w:t>
    </w:r>
    <w:r>
      <w:rPr>
        <w:rFonts w:ascii="Arial" w:hAnsi="Arial"/>
        <w:color w:val="56635C"/>
        <w:sz w:val="16"/>
      </w:rPr>
      <w:fldChar w:fldCharType="begin"/>
    </w:r>
    <w:r>
      <w:rPr>
        <w:rFonts w:ascii="Arial" w:hAnsi="Arial"/>
        <w:color w:val="56635C"/>
        <w:sz w:val="16"/>
      </w:rPr>
      <w:instrText xml:space="preserve">PAGE</w:instrText>
    </w:r>
    <w:r>
      <w:rPr>
        <w:rFonts w:ascii="Arial" w:hAnsi="Arial"/>
        <w:color w:val="56635C"/>
        <w:sz w:val="16"/>
      </w:rPr>
      <w:fldChar w:fldCharType="end"/>
    </w:r>
    <w:r>
      <w:rPr>
        <w:rFonts w:ascii="Arial" w:hAnsi="Arial"/>
        <w:color w:val="56635C"/>
        <w:sz w:val="16"/>
      </w:rPr>
      <w:t xml:space="preserve"> sur </w:t>
    </w:r>
    <w:r>
      <w:rPr>
        <w:rFonts w:ascii="Arial" w:hAnsi="Arial"/>
        <w:color w:val="56635C"/>
        <w:sz w:val="16"/>
      </w:rPr>
      <w:fldChar w:fldCharType="begin"/>
    </w:r>
    <w:r>
      <w:rPr>
        <w:rFonts w:ascii="Arial" w:hAnsi="Arial"/>
        <w:color w:val="56635C"/>
        <w:sz w:val="16"/>
      </w:rPr>
      <w:instrText xml:space="preserve">NUMPAGES</w:instrText>
    </w:r>
    <w:r>
      <w:rPr>
        <w:rFonts w:ascii="Arial" w:hAnsi="Arial"/>
        <w:color w:val="56635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56635C"/>
        <w:sz w:val="16"/>
      </w:rPr>
      <w:t>Rikolto RDC · Rapport à la direction · Café &amp; Cacao 2019-2025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00" w:line="276" w:lineRule="auto"/>
    </w:pPr>
    <w:rPr>
      <w:rFonts w:ascii="Arial" w:hAnsi="Arial" w:cs="Arial" w:eastAsia="Arial"/>
      <w:color w:val="1B2622"/>
      <w:sz w:val="20"/>
    </w:rPr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rFonts w:ascii="Arial" w:hAnsi="Arial" w:cs="Arial" w:eastAsia="Arial"/>
      <w:b/>
      <w:color w:val="1F5C4A"/>
      <w:sz w:val="40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rFonts w:ascii="Arial" w:hAnsi="Arial" w:cs="Arial" w:eastAsia="Arial"/>
      <w:b/>
      <w:color w:val="1F5C4A"/>
      <w:sz w:val="28"/>
    </w:rPr>
  </w:style>
  <w:style w:type="paragraph" w:styleId="Heading3">
    <w:name w:val="heading 3"/>
    <w:basedOn w:val="Normal"/>
    <w:next w:val="Normal"/>
    <w:qFormat/>
    <w:pPr>
      <w:keepNext/>
      <w:spacing w:before="320" w:after="120"/>
      <w:outlineLvl w:val="2"/>
    </w:pPr>
    <w:rPr>
      <w:rFonts w:ascii="Arial" w:hAnsi="Arial" w:cs="Arial" w:eastAsia="Arial"/>
      <w:b/>
      <w:color w:val="1F5C4A"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nkerresearchinstitute.org/democratic-republic-of-congo-reference/livingwage-nonmetroargentina-2020-emhn8-6k6ew-59zrl-etamz-dzkjn-lrzgj-rr5rf-wgeth-8cwff-wsw2x-j2z8p" TargetMode="External"/><Relationship Id="rId4" Type="http://schemas.openxmlformats.org/officeDocument/2006/relationships/hyperlink" Target="https://www.globallivingwage.org/wp-content/uploads/2021/09/Rural-DRC-LI-Reference-Value-FINAL-Sept-13-2021.pdf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Rapport à la direction – Café &amp; Cacao 2019-2025</dc:title>
  <dc:description>Claude Docs node/9ac9a2c3-f681@10 docx-w6</dc:description>
  <cp:revision>10</cp:revision>
  <dc:creator>Lucien Buzera</dc:creator>
  <dc:language>fr-FR</dc:language>
  <dc:subject>Rikolto RDC</dc:subject>
</cp:coreProperties>
</file>