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Rapport à la direction – Café &amp; Cacao 2019-2025</w:t>
      </w:r>
    </w:p>
    <w:p>
      <w:pPr/>
      <w:r>
        <w:t xml:space="preserve">Rikolto RDC · </w:t>
      </w:r>
      <w:r>
        <w:t xml:space="preserve">Sep 30, 2026</w:t>
      </w:r>
      <w:r>
        <w:t xml:space="preserve"> · Préparé par </w:t>
      </w:r>
      <w:r>
        <w:t xml:space="preserve">@Lucien Buzera</w:t>
      </w:r>
    </w:p>
    <w:p>
      <w:pPr>
        <w:pStyle w:val="Heading2"/>
      </w:pPr>
      <w:r>
        <w:t xml:space="preserve">Synthèse exécutive</w:t>
      </w:r>
    </w:p>
    <w:p>
      <w:pPr/>
      <w:r>
        <w:t xml:space="preserve">Le programme touche beaucoup plus de producteurs qu'en 2019, mais la base ne permet pas encore de démontrer un impact sur les revenus du café. Côté cacao, 6 ménages sur 10 dépassent le seuil de revenu vital de référence, mais seulement 4 sur 10 si l'on tient compte de la taille réelle des ménages.</w:t>
      </w:r>
    </w:p>
    <w:p>
      <w:pPr/>
      <w:r>
        <w:rPr>
          <w:b/>
        </w:rPr>
        <w:t xml:space="preserve">Cinq messages clés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Couverture café ×3,2</w:t>
      </w:r>
      <w:r>
        <w:t xml:space="preserve"> : 12 184 producteurs enregistrés en 2025, contre 3 864 en 2019. L'essentiel de la hausse vient de l'intégration de COOPADE (2024) et COOKURU (2025), pas d'une croissance des coopératives historiques (+68 % pour CKK et COOKKANZ).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Inclusion en progrès mais fragile</w:t>
      </w:r>
      <w:r>
        <w:t xml:space="preserve"> : 25,6 % de femmes en 2025 (21,6 % en 2019) et 44,7 % de jeunes de 15 à 35 ans. La part des jeunes était tombée à 32 % en 2023.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Les indicateurs économiques café sont calculés, pas mesurés</w:t>
      </w:r>
      <w:r>
        <w:t xml:space="preserve"> : production, chiffre d'affaires et marge découlent de paramètres fixes par campagne. Leur hausse (+716 % de CA estimé) reflète ces paramètres, pas une réalité de terrain.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Revenu cacao médian : 3 300 USD par an et par ménage</w:t>
      </w:r>
      <w:r>
        <w:t xml:space="preserve">, pour un seuil de revenu vital de 2 628 USD (Anker, RDC rurale 2025). Mais 80 % des ménages vivent avec moins de 2,15 USD par personne et par jour, car les ménages comptent 10,3 personnes en moyenne.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Forte dépendance au cacao</w:t>
      </w:r>
      <w:r>
        <w:t xml:space="preserve"> : 87 % du revenu net vient du cacao. Une baisse du prix mondial toucherait directement la quasi-totalité du revenu.</w:t>
      </w:r>
    </w:p>
    <w:p>
      <w:pPr/>
      <w:r>
        <w:rPr>
          <w:b/>
        </w:rPr>
        <w:t xml:space="preserve">Décisions attendues de la direction</w:t>
      </w:r>
    </w:p>
    <w:p>
      <w:pPr>
        <w:pStyle w:val="ListParagraph"/>
        <w:numPr>
          <w:ilvl w:val="0"/>
          <w:numId w:val="3"/>
        </w:numPr>
      </w:pPr>
      <w:r>
        <w:t xml:space="preserve">Valider la base café comme </w:t>
      </w:r>
      <w:r>
        <w:rPr>
          <w:b/>
        </w:rPr>
        <w:t xml:space="preserve">référentiel des bénéficiaires</w:t>
      </w:r>
      <w:r>
        <w:t xml:space="preserve"> (effectifs, genre, âge, coopérative), mais </w:t>
      </w:r>
      <w:r>
        <w:rPr>
          <w:b/>
        </w:rPr>
        <w:t xml:space="preserve">pas</w:t>
      </w:r>
      <w:r>
        <w:t xml:space="preserve"> comme source d'indicateurs de revenu.</w:t>
      </w:r>
    </w:p>
    <w:p>
      <w:pPr>
        <w:pStyle w:val="ListParagraph"/>
        <w:numPr>
          <w:ilvl w:val="0"/>
          <w:numId w:val="3"/>
        </w:numPr>
      </w:pPr>
      <w:r>
        <w:t xml:space="preserve">Financer une </w:t>
      </w:r>
      <w:r>
        <w:rPr>
          <w:b/>
        </w:rPr>
        <w:t xml:space="preserve">collecte de ventes réelles</w:t>
      </w:r>
      <w:r>
        <w:t xml:space="preserve"> par producteur de café dès la campagne 2026.</w:t>
      </w:r>
    </w:p>
    <w:p>
      <w:pPr>
        <w:pStyle w:val="ListParagraph"/>
        <w:numPr>
          <w:ilvl w:val="0"/>
          <w:numId w:val="3"/>
        </w:numPr>
      </w:pPr>
      <w:r>
        <w:t xml:space="preserve">Retenir le </w:t>
      </w:r>
      <w:r>
        <w:rPr>
          <w:b/>
        </w:rPr>
        <w:t xml:space="preserve">seuil ajusté à la taille du ménage</w:t>
      </w:r>
      <w:r>
        <w:t xml:space="preserve"> comme indicateur principal de revenu vital cacao.</w:t>
      </w:r>
    </w:p>
    <w:p>
      <w:pPr>
        <w:pStyle w:val="ListParagraph"/>
        <w:numPr>
          <w:ilvl w:val="0"/>
          <w:numId w:val="3"/>
        </w:numPr>
      </w:pPr>
      <w:r>
        <w:t xml:space="preserve">Lancer un </w:t>
      </w:r>
      <w:r>
        <w:rPr>
          <w:b/>
        </w:rPr>
        <w:t xml:space="preserve">plan de diversification des revenus</w:t>
      </w:r>
      <w:r>
        <w:t xml:space="preserve"> cacao, en priorité à Babungwe et Mambasa.</w:t>
      </w:r>
    </w:p>
    <w:p>
      <w:pPr>
        <w:pStyle w:val="ListParagraph"/>
        <w:numPr>
          <w:ilvl w:val="0"/>
          <w:numId w:val="3"/>
        </w:numPr>
      </w:pPr>
      <w:r>
        <w:t xml:space="preserve">Adopter le </w:t>
      </w:r>
      <w:r>
        <w:rPr>
          <w:b/>
        </w:rPr>
        <w:t xml:space="preserve">jeu de 12 indicateurs bailleur</w:t>
      </w:r>
      <w:r>
        <w:t xml:space="preserve"> proposé plus bas.</w:t>
      </w:r>
    </w:p>
    <w:p>
      <w:pPr>
        <w:pStyle w:val="Heading2"/>
      </w:pPr>
      <w:r>
        <w:t xml:space="preserve">Périmètre, sources et méthode</w:t>
      </w:r>
    </w:p>
    <w:p>
      <w:pPr/>
      <w:r>
        <w:t xml:space="preserve">L'analyse couvre trois bases, nettoyées puis rapprochées dans un seul modèle Power BI.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Base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Volume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Période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Base consolidée Rikolto café</w:t>
            </w:r>
          </w:p>
        </w:tc>
        <w:tc>
          <w:tcPr>
            <w:tcW w:w="2340" w:type="dxa"/>
          </w:tcPr>
          <w:p>
            <w:pPr/>
            <w:r>
              <w:t xml:space="preserve">Un producteur par campagne : identité, coopérative, superficie, production, CA, marge, certification</w:t>
            </w:r>
          </w:p>
        </w:tc>
        <w:tc>
          <w:tcPr>
            <w:tcW w:w="2340" w:type="dxa"/>
          </w:tcPr>
          <w:p>
            <w:pPr/>
            <w:r>
              <w:t xml:space="preserve">42 433 lignes, 12 833 personnes, 4 coopératives</w:t>
            </w:r>
          </w:p>
        </w:tc>
        <w:tc>
          <w:tcPr>
            <w:tcW w:w="2340" w:type="dxa"/>
          </w:tcPr>
          <w:p>
            <w:pPr/>
            <w:r>
              <w:t xml:space="preserve">Campagnes 2019 à 2025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Enquête Living Income cacao</w:t>
            </w:r>
          </w:p>
        </w:tc>
        <w:tc>
          <w:tcPr>
            <w:tcW w:w="2340" w:type="dxa"/>
          </w:tcPr>
          <w:p>
            <w:pPr/>
            <w:r>
              <w:t xml:space="preserve">Revenus et dépenses détaillés des ménages Cacao Okapi (663 variables)</w:t>
            </w:r>
          </w:p>
        </w:tc>
        <w:tc>
          <w:tcPr>
            <w:tcW w:w="2340" w:type="dxa"/>
          </w:tcPr>
          <w:p>
            <w:pPr/>
            <w:r>
              <w:t xml:space="preserve">88 ménages valides sur 90</w:t>
            </w:r>
          </w:p>
        </w:tc>
        <w:tc>
          <w:tcPr>
            <w:tcW w:w="2340" w:type="dxa"/>
          </w:tcPr>
          <w:p>
            <w:pPr/>
            <w:r>
              <w:t xml:space="preserve">Mars 2024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Liste des planteurs Cacao Okapi</w:t>
            </w:r>
          </w:p>
        </w:tc>
        <w:tc>
          <w:tcPr>
            <w:tcW w:w="2340" w:type="dxa"/>
          </w:tcPr>
          <w:p>
            <w:pPr/>
            <w:r>
              <w:t xml:space="preserve">Code, section, corporation, superficie totale et cacao, nombre de tiges</w:t>
            </w:r>
          </w:p>
        </w:tc>
        <w:tc>
          <w:tcPr>
            <w:tcW w:w="2340" w:type="dxa"/>
          </w:tcPr>
          <w:p>
            <w:pPr/>
            <w:r>
              <w:t xml:space="preserve">301 planteurs, 5 sections</w:t>
            </w:r>
          </w:p>
        </w:tc>
        <w:tc>
          <w:tcPr>
            <w:tcW w:w="2340" w:type="dxa"/>
          </w:tcPr>
          <w:p>
            <w:pPr/>
            <w:r>
              <w:t xml:space="preserve">Liste 2024</w:t>
            </w:r>
          </w:p>
        </w:tc>
      </w:tr>
    </w:tbl>
    <w:p>
      <w:pPr/>
      <w:r>
        <w:rPr>
          <w:b/>
        </w:rPr>
        <w:t xml:space="preserve">Seuil de revenu vital.</w:t>
      </w:r>
      <w:r>
        <w:t xml:space="preserve"> Nous utilisons la valeur de référence Anker pour la RDC rurale, mise à jour 2025 : 219 USD par mois, soit </w:t>
      </w:r>
      <w:r>
        <w:rPr>
          <w:b/>
        </w:rPr>
        <w:t xml:space="preserve">2 628 USD par an</w:t>
      </w:r>
      <w:r>
        <w:t xml:space="preserve"> pour un ménage de référence de 6 personnes (</w:t>
      </w:r>
      <w:hyperlink r:id="rId3" w:history="1">
        <w:r>
          <w:rPr>
            <w:rStyle w:val="Hyperlink"/>
          </w:rPr>
          <w:t xml:space="preserve">Anker Research Institute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rapport 2021</w:t>
        </w:r>
      </w:hyperlink>
      <w:r>
        <w:t xml:space="preserve">). Comme les ménages enquêtés comptent 10,3 personnes en moyenne, nous calculons aussi un </w:t>
      </w:r>
      <w:r>
        <w:rPr>
          <w:b/>
        </w:rPr>
        <w:t xml:space="preserve">seuil ajusté</w:t>
      </w:r>
      <w:r>
        <w:t xml:space="preserve"> proportionnel à leur taille (438 USD par personne et par an). Ce seuil ajusté est prudent : il ne tient pas compte des économies d'échelle des grands ménages.</w:t>
      </w:r>
    </w:p>
    <w:p>
      <w:pPr/>
      <w:r>
        <w:rPr>
          <w:b/>
        </w:rPr>
        <w:t xml:space="preserve">Principaux traitements</w:t>
      </w:r>
    </w:p>
    <w:p>
      <w:pPr>
        <w:pStyle w:val="ListParagraph"/>
        <w:numPr>
          <w:ilvl w:val="0"/>
          <w:numId w:val="4"/>
        </w:numPr>
      </w:pPr>
      <w:r>
        <w:t xml:space="preserve">Revenu net cacao recalculé comme la somme des 7 sources de revenu. La variable « living_income » du questionnaire vaut en réalité revenu moins dépenses ; elle n'a pas été utilisée comme revenu.</w:t>
      </w:r>
    </w:p>
    <w:p>
      <w:pPr>
        <w:pStyle w:val="ListParagraph"/>
        <w:numPr>
          <w:ilvl w:val="0"/>
          <w:numId w:val="4"/>
        </w:numPr>
      </w:pPr>
      <w:r>
        <w:t xml:space="preserve">Sections de l'enquête rapprochées des 4 sections du rapport (Irumu → Mungamba, Bahaha → Babungwe), et orthographes normalisées.</w:t>
      </w:r>
    </w:p>
    <w:p>
      <w:pPr>
        <w:pStyle w:val="ListParagraph"/>
        <w:numPr>
          <w:ilvl w:val="0"/>
          <w:numId w:val="4"/>
        </w:numPr>
      </w:pPr>
      <w:r>
        <w:t xml:space="preserve">Base café : rétro-ingénierie des formules de calcul, contrôle des doublons, de la complétude et de la cohérence des âges d'une année sur l'autre.</w:t>
      </w:r>
    </w:p>
    <w:p>
      <w:pPr>
        <w:pStyle w:val="ListParagraph"/>
        <w:numPr>
          <w:ilvl w:val="0"/>
          <w:numId w:val="4"/>
        </w:numPr>
      </w:pPr>
      <w:r>
        <w:t xml:space="preserve">23 contrôles qualité consignés dans un registre, repris dans le dashboard.</w:t>
      </w:r>
    </w:p>
    <w:p>
      <w:pPr>
        <w:pStyle w:val="Heading2"/>
      </w:pPr>
      <w:r>
        <w:t xml:space="preserve">Café : bénéficiaires, inclusion et fidélisation</w:t>
      </w:r>
    </w:p>
    <w:p>
      <w:pPr/>
      <w:r>
        <w:t xml:space="preserve">La base café est fiable pour compter et décrire les bénéficiaires : identité, sexe, âge et coopérative sont renseignés pour plus de 99 % des lignes.</w:t>
      </w:r>
    </w:p>
    <w:p>
      <w:pPr/>
      <w:r>
        <w:drawing>
          <wp:inline distT="0" distB="0" distL="0" distR="0">
            <wp:extent cx="5486400" cy="2792185"/>
            <wp:docPr id="1" name="image1" descr="Base consolidée Rikolto café 2019-2025 · lignes par campagne et coopérativ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ase consolidée Rikolto café 2019-2025 · lignes par campagne et coopérativ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Base consolidée Rikolto café 2019-2025 · lignes par campagne et coopérative</w:t>
      </w:r>
    </w:p>
    <w:p>
      <w:pPr/>
      <w:r>
        <w:t xml:space="preserve">La croissance des coopératives historiques est réelle mais modérée : CKK et COOKKANZ passent de 3 864 à 6 506 producteurs (+68 %). Le fort taux de rétention (96,5 à 99,6 % par an depuis 2022) montre une base fidèle : 3 216 producteurs sont présents lors des 7 campagnes.</w:t>
      </w:r>
    </w:p>
    <w:p>
      <w:pPr/>
      <w:r>
        <w:drawing>
          <wp:inline distT="0" distB="0" distL="0" distR="0">
            <wp:extent cx="5486400" cy="2432957"/>
            <wp:docPr id="2" name="image2" descr="Base consolidée Rikolto café 2019-2025 · âge connu pour 99 % des lig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ase consolidée Rikolto café 2019-2025 · âge connu pour 99 % des lign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Base consolidée Rikolto café 2019-2025 · âge connu pour 99 % des lignes</w:t>
      </w:r>
    </w:p>
    <w:p>
      <w:pPr/>
      <w:r>
        <w:rPr>
          <w:b/>
        </w:rPr>
        <w:t xml:space="preserve">Profil des coopératives en 2025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Coopérative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Producteurs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Femmes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Jeunes 15-35 ans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Superficie moyenne (ha)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Certifiés conformes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COOPADE</w:t>
            </w:r>
          </w:p>
        </w:tc>
        <w:tc>
          <w:tcPr>
            <w:tcW w:w="1560" w:type="dxa"/>
          </w:tcPr>
          <w:p>
            <w:pPr/>
            <w:r>
              <w:t xml:space="preserve">4 082</w:t>
            </w:r>
          </w:p>
        </w:tc>
        <w:tc>
          <w:tcPr>
            <w:tcW w:w="1560" w:type="dxa"/>
          </w:tcPr>
          <w:p>
            <w:pPr/>
            <w:r>
              <w:t xml:space="preserve">26,5 %</w:t>
            </w:r>
          </w:p>
        </w:tc>
        <w:tc>
          <w:tcPr>
            <w:tcW w:w="1560" w:type="dxa"/>
          </w:tcPr>
          <w:p>
            <w:pPr/>
            <w:r>
              <w:t xml:space="preserve">49,8 %</w:t>
            </w:r>
          </w:p>
        </w:tc>
        <w:tc>
          <w:tcPr>
            <w:tcW w:w="1560" w:type="dxa"/>
          </w:tcPr>
          <w:p>
            <w:pPr/>
            <w:r>
              <w:t xml:space="preserve">0,56</w:t>
            </w:r>
          </w:p>
        </w:tc>
        <w:tc>
          <w:tcPr>
            <w:tcW w:w="156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COOKKANZ</w:t>
            </w:r>
          </w:p>
        </w:tc>
        <w:tc>
          <w:tcPr>
            <w:tcW w:w="1560" w:type="dxa"/>
          </w:tcPr>
          <w:p>
            <w:pPr/>
            <w:r>
              <w:t xml:space="preserve">3 316</w:t>
            </w:r>
          </w:p>
        </w:tc>
        <w:tc>
          <w:tcPr>
            <w:tcW w:w="1560" w:type="dxa"/>
          </w:tcPr>
          <w:p>
            <w:pPr/>
            <w:r>
              <w:t xml:space="preserve">12,0 %</w:t>
            </w:r>
          </w:p>
        </w:tc>
        <w:tc>
          <w:tcPr>
            <w:tcW w:w="1560" w:type="dxa"/>
          </w:tcPr>
          <w:p>
            <w:pPr/>
            <w:r>
              <w:t xml:space="preserve">56,2 %</w:t>
            </w:r>
          </w:p>
        </w:tc>
        <w:tc>
          <w:tcPr>
            <w:tcW w:w="1560" w:type="dxa"/>
          </w:tcPr>
          <w:p>
            <w:pPr/>
            <w:r>
              <w:t xml:space="preserve">0,55</w:t>
            </w:r>
          </w:p>
        </w:tc>
        <w:tc>
          <w:tcPr>
            <w:tcW w:w="156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CKK</w:t>
            </w:r>
          </w:p>
        </w:tc>
        <w:tc>
          <w:tcPr>
            <w:tcW w:w="1560" w:type="dxa"/>
          </w:tcPr>
          <w:p>
            <w:pPr/>
            <w:r>
              <w:t xml:space="preserve">3 190</w:t>
            </w:r>
          </w:p>
        </w:tc>
        <w:tc>
          <w:tcPr>
            <w:tcW w:w="1560" w:type="dxa"/>
          </w:tcPr>
          <w:p>
            <w:pPr/>
            <w:r>
              <w:t xml:space="preserve">32,4 %</w:t>
            </w:r>
          </w:p>
        </w:tc>
        <w:tc>
          <w:tcPr>
            <w:tcW w:w="1560" w:type="dxa"/>
          </w:tcPr>
          <w:p>
            <w:pPr/>
            <w:r>
              <w:t xml:space="preserve">23,6 %</w:t>
            </w:r>
          </w:p>
        </w:tc>
        <w:tc>
          <w:tcPr>
            <w:tcW w:w="1560" w:type="dxa"/>
          </w:tcPr>
          <w:p>
            <w:pPr/>
            <w:r>
              <w:t xml:space="preserve">0,56</w:t>
            </w:r>
          </w:p>
        </w:tc>
        <w:tc>
          <w:tcPr>
            <w:tcW w:w="156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COOKURU</w:t>
            </w:r>
          </w:p>
        </w:tc>
        <w:tc>
          <w:tcPr>
            <w:tcW w:w="1560" w:type="dxa"/>
          </w:tcPr>
          <w:p>
            <w:pPr/>
            <w:r>
              <w:t xml:space="preserve">1 596</w:t>
            </w:r>
          </w:p>
        </w:tc>
        <w:tc>
          <w:tcPr>
            <w:tcW w:w="1560" w:type="dxa"/>
          </w:tcPr>
          <w:p>
            <w:pPr/>
            <w:r>
              <w:t xml:space="preserve">37,9 %</w:t>
            </w:r>
          </w:p>
        </w:tc>
        <w:tc>
          <w:tcPr>
            <w:tcW w:w="1560" w:type="dxa"/>
          </w:tcPr>
          <w:p>
            <w:pPr/>
            <w:r>
              <w:t xml:space="preserve">50,1 %</w:t>
            </w:r>
          </w:p>
        </w:tc>
        <w:tc>
          <w:tcPr>
            <w:tcW w:w="1560" w:type="dxa"/>
          </w:tcPr>
          <w:p>
            <w:pPr/>
            <w:r>
              <w:t xml:space="preserve">0,54</w:t>
            </w:r>
          </w:p>
        </w:tc>
        <w:tc>
          <w:tcPr>
            <w:tcW w:w="1560" w:type="dxa"/>
          </w:tcPr>
          <w:p>
            <w:pPr/>
            <w:r>
              <w:t xml:space="preserve">0 % (en conversion)</w:t>
            </w:r>
          </w:p>
        </w:tc>
      </w:tr>
    </w:tbl>
    <w:p>
      <w:pPr/>
      <w:r>
        <w:t xml:space="preserve">Deux écarts appellent une action ciblée : COOKKANZ ne compte que 12 % de femmes, et CKK seulement 24 % de jeunes. La certification atteint 87 % des producteurs en 2025 ; les 13 % restants sont les membres de COOKURU, encore en conversion.</w:t>
      </w:r>
    </w:p>
    <w:p>
      <w:pPr>
        <w:pStyle w:val="Heading2"/>
      </w:pPr>
      <w:r>
        <w:t xml:space="preserve">Café : production et économie, des estimations à ne pas présenter comme des résultats</w:t>
      </w:r>
    </w:p>
    <w:p>
      <w:pPr/>
      <w:r>
        <w:t xml:space="preserve">Les chiffres de production, de chiffre d'affaires et de marge de la base café sont entièrement calculés par formule. Ils ne peuvent pas servir à démontrer une hausse des revenus.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Comment elle est obtenue dans la base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Part des lignes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Production de cerise</w:t>
            </w:r>
          </w:p>
        </w:tc>
        <w:tc>
          <w:tcPr>
            <w:tcW w:w="3120" w:type="dxa"/>
          </w:tcPr>
          <w:p>
            <w:pPr/>
            <w:r>
              <w:t xml:space="preserve">Superficie × densité × rendement par pied ; densité de 1 000 à 1 620 pieds/ha et rendement de 1,5 à 2,5 kg/pied selon la campagne</w:t>
            </w:r>
          </w:p>
        </w:tc>
        <w:tc>
          <w:tcPr>
            <w:tcW w:w="312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Chiffre d'affaires</w:t>
            </w:r>
          </w:p>
        </w:tc>
        <w:tc>
          <w:tcPr>
            <w:tcW w:w="3120" w:type="dxa"/>
          </w:tcPr>
          <w:p>
            <w:pPr/>
            <w:r>
              <w:t xml:space="preserve">Production × 0,55 USD/kg, un prix unique de 2019 à 2025</w:t>
            </w:r>
          </w:p>
        </w:tc>
        <w:tc>
          <w:tcPr>
            <w:tcW w:w="312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Coût et marge</w:t>
            </w:r>
          </w:p>
        </w:tc>
        <w:tc>
          <w:tcPr>
            <w:tcW w:w="3120" w:type="dxa"/>
          </w:tcPr>
          <w:p>
            <w:pPr/>
            <w:r>
              <w:t xml:space="preserve">Coût = 40 % du CA ; marge = 60 % du CA</w:t>
            </w:r>
          </w:p>
        </w:tc>
        <w:tc>
          <w:tcPr>
            <w:tcW w:w="312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« Prix unitaire »</w:t>
            </w:r>
          </w:p>
        </w:tc>
        <w:tc>
          <w:tcPr>
            <w:tcW w:w="3120" w:type="dxa"/>
          </w:tcPr>
          <w:p>
            <w:pPr/>
            <w:r>
              <w:t xml:space="preserve">Reprend en réalité le taux de transformation cerise → parche</w:t>
            </w:r>
          </w:p>
        </w:tc>
        <w:tc>
          <w:tcPr>
            <w:tcW w:w="3120" w:type="dxa"/>
          </w:tcPr>
          <w:p>
            <w:pPr/>
            <w:r>
              <w:t xml:space="preserve">90 %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Marge par hectare</w:t>
            </w:r>
          </w:p>
        </w:tc>
        <w:tc>
          <w:tcPr>
            <w:tcW w:w="3120" w:type="dxa"/>
          </w:tcPr>
          <w:p>
            <w:pPr/>
            <w:r>
              <w:t xml:space="preserve">Second modèle contradictoire : négative en 2019-2020 alors que la marge totale est positive</w:t>
            </w:r>
          </w:p>
        </w:tc>
        <w:tc>
          <w:tcPr>
            <w:tcW w:w="3120" w:type="dxa"/>
          </w:tcPr>
          <w:p>
            <w:pPr/>
            <w:r>
              <w:t xml:space="preserve">19 %</w:t>
            </w:r>
          </w:p>
        </w:tc>
      </w:tr>
    </w:tbl>
    <w:p>
      <w:pPr/>
      <w:r>
        <w:t xml:space="preserve">Conséquence : le CA estimé passe de 1,8 à 14,5 millions USD entre 2019 et 2025, mais cette hausse vient à la fois du nombre de producteurs et du changement des paramètres de rendement. La superficie moyenne déclarée, elle, ne bouge pas : 0,55 ha par producteur chaque année.</w:t>
      </w:r>
    </w:p>
    <w:p>
      <w:pPr/>
      <w:r>
        <w:t xml:space="preserve">Le dashboard garde ces indicateurs, marqués « estimés », pour la continuité du reporting. Pour mesurer un vrai effet sur le revenu, il faut enregistrer les ventes réelles : kilos livrés à la coopérative et prix payé, par producteur et par campagne.</w:t>
      </w:r>
    </w:p>
    <w:p>
      <w:pPr>
        <w:pStyle w:val="Heading2"/>
      </w:pPr>
      <w:r>
        <w:t xml:space="preserve">Cacao : revenu des ménages et écart au revenu vital</w:t>
      </w:r>
    </w:p>
    <w:p>
      <w:pPr/>
      <w:r>
        <w:t xml:space="preserve">Le revenu net médian d'un ménage cacao est de 3 300 USD par an, soit 26 % au-dessus du seuil de revenu vital de référence. Mais ramené à la taille réelle des ménages, seul 40 % d'entre eux l'atteignent.</w:t>
      </w:r>
    </w:p>
    <w:p>
      <w:pPr/>
      <w:r>
        <w:drawing>
          <wp:inline distT="0" distB="0" distL="0" distR="0">
            <wp:extent cx="5486400" cy="2579914"/>
            <wp:docPr id="3" name="image3" descr="Enquête Living Income Cacao Okapi, mars 2024 (88 ménages) · Anker Research Institute 2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nquête Living Income Cacao Okapi, mars 2024 (88 ménages) · Anker Research Institute 20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Enquête Living Income Cacao Okapi, mars 2024 (88 ménages) · Anker Research Institute 2025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Indicateur (88 ménages)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Ménages au-dessus du seuil de référence (6 personnes)</w:t>
            </w:r>
          </w:p>
        </w:tc>
        <w:tc>
          <w:tcPr>
            <w:tcW w:w="4680" w:type="dxa"/>
          </w:tcPr>
          <w:p>
            <w:pPr/>
            <w:r>
              <w:t xml:space="preserve">59 %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Ménages au-dessus du seuil ajusté à leur taille</w:t>
            </w:r>
          </w:p>
        </w:tc>
        <w:tc>
          <w:tcPr>
            <w:tcW w:w="4680" w:type="dxa"/>
          </w:tcPr>
          <w:p>
            <w:pPr/>
            <w:r>
              <w:t xml:space="preserve">40 %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Revenu supplémentaire médian nécessaire pour les ménages sous le seuil ajusté</w:t>
            </w:r>
          </w:p>
        </w:tc>
        <w:tc>
          <w:tcPr>
            <w:tcW w:w="4680" w:type="dxa"/>
          </w:tcPr>
          <w:p>
            <w:pPr/>
            <w:r>
              <w:t xml:space="preserve">2 225 USD/an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Revenu médian par personne et par jour</w:t>
            </w:r>
          </w:p>
        </w:tc>
        <w:tc>
          <w:tcPr>
            <w:tcW w:w="4680" w:type="dxa"/>
          </w:tcPr>
          <w:p>
            <w:pPr/>
            <w:r>
              <w:t xml:space="preserve">0,97 USD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Ménages sous 2,15 USD par personne et par jour</w:t>
            </w:r>
          </w:p>
        </w:tc>
        <w:tc>
          <w:tcPr>
            <w:tcW w:w="4680" w:type="dxa"/>
          </w:tcPr>
          <w:p>
            <w:pPr/>
            <w:r>
              <w:t xml:space="preserve">80 %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Ménages dont les dépenses déclarées dépassent le revenu</w:t>
            </w:r>
          </w:p>
        </w:tc>
        <w:tc>
          <w:tcPr>
            <w:tcW w:w="4680" w:type="dxa"/>
          </w:tcPr>
          <w:p>
            <w:pPr/>
            <w:r>
              <w:t xml:space="preserve">18 %</w:t>
            </w:r>
          </w:p>
        </w:tc>
      </w:tr>
    </w:tbl>
    <w:p>
      <w:pPr/>
      <w:r>
        <w:t xml:space="preserve">Mayuano s'en sort le mieux grâce à un rendement deux fois plus élevé (875 kg/ha contre 435 à 485 kg/ha ailleurs) et à des ménages plus petits (7,8 personnes), malgré un prix de vente moitié moindre (2,06 USD/kg contre environ 4 USD/kg). À vérifier : ce prix bas peut indiquer une vente de fèves fraîches plutôt que séchées.</w:t>
      </w:r>
    </w:p>
    <w:p>
      <w:pPr/>
      <w:r>
        <w:drawing>
          <wp:inline distT="0" distB="0" distL="0" distR="0">
            <wp:extent cx="5486400" cy="2392135"/>
            <wp:docPr id="4" name="image4" descr="Enquête Living Income Cacao Okapi, mars 2024 · revenus nets annuels en US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Enquête Living Income Cacao Okapi, mars 2024 · revenus nets annuels en U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Enquête Living Income Cacao Okapi, mars 2024 · revenus nets annuels en USD</w:t>
      </w:r>
    </w:p>
    <w:p>
      <w:pPr/>
      <w:r>
        <w:t xml:space="preserve">Les leviers sont donc le rendement (médian 567 kg/ha, alors que 38 % des superficies déclarées ne sont pas encore en production), la diversification des revenus et la qualité, qui détermine le prix. </w:t>
      </w:r>
      <w:r>
        <w:rPr>
          <w:b/>
        </w:rPr>
        <w:t xml:space="preserve">Limites</w:t>
      </w:r>
      <w:r>
        <w:t xml:space="preserve"> : l'échantillon ne compte que 6 femmes chefs de ménage, et 6 ménages présentent des valeurs extrêmes (jusqu'à 44 ha et 59 705 USD). Les résultats par sous-groupe sont indicatifs.</w:t>
      </w:r>
    </w:p>
    <w:p>
      <w:pPr>
        <w:pStyle w:val="Heading2"/>
      </w:pPr>
      <w:r>
        <w:t xml:space="preserve">Qualité des données et avis pour le PV de validation</w:t>
      </w:r>
    </w:p>
    <w:p>
      <w:pPr/>
      <w:r>
        <w:t xml:space="preserve">Avis proposé : </w:t>
      </w:r>
      <w:r>
        <w:rPr>
          <w:b/>
        </w:rPr>
        <w:t xml:space="preserve">validation partielle</w:t>
      </w:r>
      <w:r>
        <w:t xml:space="preserve">. La base café peut être validée comme référentiel des bénéficiaires, mais pas pour ses indicateurs économiques. Sur 23 contrôles, 4 sont critiques et 7 de gravité élevée.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Gravité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Anomalie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Lignes concernées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Critique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Production, CA, coût et marge calculés par paramètres fixes</w:t>
            </w:r>
          </w:p>
        </w:tc>
        <w:tc>
          <w:tcPr>
            <w:tcW w:w="1872" w:type="dxa"/>
          </w:tcPr>
          <w:p>
            <w:pPr/>
            <w:r>
              <w:t xml:space="preserve">100 %</w:t>
            </w:r>
          </w:p>
        </w:tc>
        <w:tc>
          <w:tcPr>
            <w:tcW w:w="1872" w:type="dxa"/>
          </w:tcPr>
          <w:p>
            <w:pPr/>
            <w:r>
              <w:t xml:space="preserve">Ne pas les présenter comme mesurés ; collecter les ventes réelles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Critique</w:t>
            </w:r>
          </w:p>
        </w:tc>
        <w:tc>
          <w:tcPr>
            <w:tcW w:w="1872" w:type="dxa"/>
          </w:tcPr>
          <w:p>
            <w:pPr/>
            <w:r>
              <w:t xml:space="preserve">Cacao</w:t>
            </w:r>
          </w:p>
        </w:tc>
        <w:tc>
          <w:tcPr>
            <w:tcW w:w="1872" w:type="dxa"/>
          </w:tcPr>
          <w:p>
            <w:pPr/>
            <w:r>
              <w:t xml:space="preserve">« living_income » = revenu − dépenses, pas un revenu</w:t>
            </w:r>
          </w:p>
        </w:tc>
        <w:tc>
          <w:tcPr>
            <w:tcW w:w="1872" w:type="dxa"/>
          </w:tcPr>
          <w:p>
            <w:pPr/>
            <w:r>
              <w:t xml:space="preserve">88 ménages</w:t>
            </w:r>
          </w:p>
        </w:tc>
        <w:tc>
          <w:tcPr>
            <w:tcW w:w="1872" w:type="dxa"/>
          </w:tcPr>
          <w:p>
            <w:pPr/>
            <w:r>
              <w:t xml:space="preserve">Renommer la variable ; utiliser le revenu net recalculé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Territoire manquant</w:t>
            </w:r>
          </w:p>
        </w:tc>
        <w:tc>
          <w:tcPr>
            <w:tcW w:w="1872" w:type="dxa"/>
          </w:tcPr>
          <w:p>
            <w:pPr/>
            <w:r>
              <w:t xml:space="preserve">36 %</w:t>
            </w:r>
          </w:p>
        </w:tc>
        <w:tc>
          <w:tcPr>
            <w:tcW w:w="1872" w:type="dxa"/>
          </w:tcPr>
          <w:p>
            <w:pPr/>
            <w:r>
              <w:t xml:space="preserve">Compléter depuis la liste village → territoire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Certification non renseignée (surtout 2022 et 2024)</w:t>
            </w:r>
          </w:p>
        </w:tc>
        <w:tc>
          <w:tcPr>
            <w:tcW w:w="1872" w:type="dxa"/>
          </w:tcPr>
          <w:p>
            <w:pPr/>
            <w:r>
              <w:t xml:space="preserve">14 %</w:t>
            </w:r>
          </w:p>
        </w:tc>
        <w:tc>
          <w:tcPr>
            <w:tcW w:w="1872" w:type="dxa"/>
          </w:tcPr>
          <w:p>
            <w:pPr/>
            <w:r>
              <w:t xml:space="preserve">Reprendre les rapports d'audit des campagnes concernées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Numéro de carte partagé par plusieurs lignes d'une même campagne</w:t>
            </w:r>
          </w:p>
        </w:tc>
        <w:tc>
          <w:tcPr>
            <w:tcW w:w="1872" w:type="dxa"/>
          </w:tcPr>
          <w:p>
            <w:pPr/>
            <w:r>
              <w:t xml:space="preserve">2 099 lignes (4,9 %)</w:t>
            </w:r>
          </w:p>
        </w:tc>
        <w:tc>
          <w:tcPr>
            <w:tcW w:w="1872" w:type="dxa"/>
          </w:tcPr>
          <w:p>
            <w:pPr/>
            <w:r>
              <w:t xml:space="preserve">Dédoublonner avec les coopératives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« Prix unitaire » égal au taux de transformation cerise → parche</w:t>
            </w:r>
          </w:p>
        </w:tc>
        <w:tc>
          <w:tcPr>
            <w:tcW w:w="1872" w:type="dxa"/>
          </w:tcPr>
          <w:p>
            <w:pPr/>
            <w:r>
              <w:t xml:space="preserve">90 %</w:t>
            </w:r>
          </w:p>
        </w:tc>
        <w:tc>
          <w:tcPr>
            <w:tcW w:w="1872" w:type="dxa"/>
          </w:tcPr>
          <w:p>
            <w:pPr/>
            <w:r>
              <w:t xml:space="preserve">Corriger la formule ou supprimer la colonne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Marge par hectare négative alors que la marge est positive (2019-2020)</w:t>
            </w:r>
          </w:p>
        </w:tc>
        <w:tc>
          <w:tcPr>
            <w:tcW w:w="1872" w:type="dxa"/>
          </w:tcPr>
          <w:p>
            <w:pPr/>
            <w:r>
              <w:t xml:space="preserve">19 %</w:t>
            </w:r>
          </w:p>
        </w:tc>
        <w:tc>
          <w:tcPr>
            <w:tcW w:w="1872" w:type="dxa"/>
          </w:tcPr>
          <w:p>
            <w:pPr/>
            <w:r>
              <w:t xml:space="preserve">Supprimer le second modèle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Rupture de série en 2024 (+4 922 nouveaux producteurs)</w:t>
            </w:r>
          </w:p>
        </w:tc>
        <w:tc>
          <w:tcPr>
            <w:tcW w:w="1872" w:type="dxa"/>
          </w:tcPr>
          <w:p>
            <w:pPr/>
            <w:r>
              <w:t xml:space="preserve">53 % de 2024</w:t>
            </w:r>
          </w:p>
        </w:tc>
        <w:tc>
          <w:tcPr>
            <w:tcW w:w="1872" w:type="dxa"/>
          </w:tcPr>
          <w:p>
            <w:pPr/>
            <w:r>
              <w:t xml:space="preserve">Toujours distinguer périmètre historique et nouvelles OP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Élevée</w:t>
            </w:r>
          </w:p>
        </w:tc>
        <w:tc>
          <w:tcPr>
            <w:tcW w:w="1872" w:type="dxa"/>
          </w:tcPr>
          <w:p>
            <w:pPr/>
            <w:r>
              <w:t xml:space="preserve">Cacao</w:t>
            </w:r>
          </w:p>
        </w:tc>
        <w:tc>
          <w:tcPr>
            <w:tcW w:w="1872" w:type="dxa"/>
          </w:tcPr>
          <w:p>
            <w:pPr/>
            <w:r>
              <w:t xml:space="preserve">Seulement 6 femmes sur 88 ménages</w:t>
            </w:r>
          </w:p>
        </w:tc>
        <w:tc>
          <w:tcPr>
            <w:tcW w:w="1872" w:type="dxa"/>
          </w:tcPr>
          <w:p>
            <w:pPr/>
            <w:r>
              <w:t xml:space="preserve">7 %</w:t>
            </w:r>
          </w:p>
        </w:tc>
        <w:tc>
          <w:tcPr>
            <w:tcW w:w="1872" w:type="dxa"/>
          </w:tcPr>
          <w:p>
            <w:pPr/>
            <w:r>
              <w:t xml:space="preserve">Sur-échantillonner les femmes lors de la prochaine enquête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Moyenne</w:t>
            </w:r>
          </w:p>
        </w:tc>
        <w:tc>
          <w:tcPr>
            <w:tcW w:w="1872" w:type="dxa"/>
          </w:tcPr>
          <w:p>
            <w:pPr/>
            <w:r>
              <w:t xml:space="preserve">Café</w:t>
            </w:r>
          </w:p>
        </w:tc>
        <w:tc>
          <w:tcPr>
            <w:tcW w:w="1872" w:type="dxa"/>
          </w:tcPr>
          <w:p>
            <w:pPr/>
            <w:r>
              <w:t xml:space="preserve">Âge incohérent d'une année à l'autre</w:t>
            </w:r>
          </w:p>
        </w:tc>
        <w:tc>
          <w:tcPr>
            <w:tcW w:w="1872" w:type="dxa"/>
          </w:tcPr>
          <w:p>
            <w:pPr/>
            <w:r>
              <w:t xml:space="preserve">7,9 % des suivis</w:t>
            </w:r>
          </w:p>
        </w:tc>
        <w:tc>
          <w:tcPr>
            <w:tcW w:w="1872" w:type="dxa"/>
          </w:tcPr>
          <w:p>
            <w:pPr/>
            <w:r>
              <w:t xml:space="preserve">Contrôler l'identifiant longitudinal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Moyenne</w:t>
            </w:r>
          </w:p>
        </w:tc>
        <w:tc>
          <w:tcPr>
            <w:tcW w:w="1872" w:type="dxa"/>
          </w:tcPr>
          <w:p>
            <w:pPr/>
            <w:r>
              <w:t xml:space="preserve">Okapi</w:t>
            </w:r>
          </w:p>
        </w:tc>
        <w:tc>
          <w:tcPr>
            <w:tcW w:w="1872" w:type="dxa"/>
          </w:tcPr>
          <w:p>
            <w:pPr/>
            <w:r>
              <w:t xml:space="preserve">28 codes planteurs en doublon ; nombre de tiges estimé (1 100 par ha)</w:t>
            </w:r>
          </w:p>
        </w:tc>
        <w:tc>
          <w:tcPr>
            <w:tcW w:w="1872" w:type="dxa"/>
          </w:tcPr>
          <w:p>
            <w:pPr/>
            <w:r>
              <w:t xml:space="preserve">9 % et 76 %</w:t>
            </w:r>
          </w:p>
        </w:tc>
        <w:tc>
          <w:tcPr>
            <w:tcW w:w="1872" w:type="dxa"/>
          </w:tcPr>
          <w:p>
            <w:pPr/>
            <w:r>
              <w:t xml:space="preserve">Recompter les tiges lors du prochain inventaire</w:t>
            </w:r>
          </w:p>
        </w:tc>
      </w:tr>
    </w:tbl>
    <w:p>
      <w:pPr/>
      <w:r>
        <w:t xml:space="preserve">Le registre complet des 23 contrôles se trouve dans la page « Qualité des données » du dashboard et dans le fichier qualite_controles.csv. Il peut être annexé tel quel au PV de validation.</w:t>
      </w:r>
    </w:p>
    <w:p>
      <w:pPr>
        <w:pStyle w:val="Heading2"/>
      </w:pPr>
      <w:r>
        <w:t xml:space="preserve">Indicateurs proposés pour le reporting bailleur</w:t>
      </w:r>
    </w:p>
    <w:p>
      <w:pPr/>
      <w:r>
        <w:t xml:space="preserve">Nous proposons 12 indicateurs : 9 sont déjà calculables et fiables, 3 demandent une collecte nouvelle. Les valeurs de référence servent de point de départ pour fixer les cibles.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N°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Indicateur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Niveau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Valeur actuelle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Fiabilité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Producteurs de café appuyés</w:t>
            </w:r>
          </w:p>
        </w:tc>
        <w:tc>
          <w:tcPr>
            <w:tcW w:w="1560" w:type="dxa"/>
          </w:tcPr>
          <w:p>
            <w:pPr/>
            <w:r>
              <w:t xml:space="preserve">Réalisation</w:t>
            </w:r>
          </w:p>
        </w:tc>
        <w:tc>
          <w:tcPr>
            <w:tcW w:w="1560" w:type="dxa"/>
          </w:tcPr>
          <w:p>
            <w:pPr/>
            <w:r>
              <w:t xml:space="preserve">12 184 (2025)</w:t>
            </w:r>
          </w:p>
        </w:tc>
        <w:tc>
          <w:tcPr>
            <w:tcW w:w="1560" w:type="dxa"/>
          </w:tcPr>
          <w:p>
            <w:pPr/>
            <w:r>
              <w:t xml:space="preserve">Base café</w:t>
            </w:r>
          </w:p>
        </w:tc>
        <w:tc>
          <w:tcPr>
            <w:tcW w:w="1560" w:type="dxa"/>
          </w:tcPr>
          <w:p>
            <w:pPr/>
            <w:r>
              <w:t xml:space="preserve">Bonne, après dédoublonnage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Part des femmes parmi les producteurs de café</w:t>
            </w:r>
          </w:p>
        </w:tc>
        <w:tc>
          <w:tcPr>
            <w:tcW w:w="1560" w:type="dxa"/>
          </w:tcPr>
          <w:p>
            <w:pPr/>
            <w:r>
              <w:t xml:space="preserve">Inclusion</w:t>
            </w:r>
          </w:p>
        </w:tc>
        <w:tc>
          <w:tcPr>
            <w:tcW w:w="1560" w:type="dxa"/>
          </w:tcPr>
          <w:p>
            <w:pPr/>
            <w:r>
              <w:t xml:space="preserve">25,6 % (2025)</w:t>
            </w:r>
          </w:p>
        </w:tc>
        <w:tc>
          <w:tcPr>
            <w:tcW w:w="1560" w:type="dxa"/>
          </w:tcPr>
          <w:p>
            <w:pPr/>
            <w:r>
              <w:t xml:space="preserve">Base café</w:t>
            </w:r>
          </w:p>
        </w:tc>
        <w:tc>
          <w:tcPr>
            <w:tcW w:w="1560" w:type="dxa"/>
          </w:tcPr>
          <w:p>
            <w:pPr/>
            <w:r>
              <w:t xml:space="preserve">Bonne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Part des jeunes (15-35 ans) parmi les producteurs de café</w:t>
            </w:r>
          </w:p>
        </w:tc>
        <w:tc>
          <w:tcPr>
            <w:tcW w:w="1560" w:type="dxa"/>
          </w:tcPr>
          <w:p>
            <w:pPr/>
            <w:r>
              <w:t xml:space="preserve">Inclusion</w:t>
            </w:r>
          </w:p>
        </w:tc>
        <w:tc>
          <w:tcPr>
            <w:tcW w:w="1560" w:type="dxa"/>
          </w:tcPr>
          <w:p>
            <w:pPr/>
            <w:r>
              <w:t xml:space="preserve">44,7 % (2025)</w:t>
            </w:r>
          </w:p>
        </w:tc>
        <w:tc>
          <w:tcPr>
            <w:tcW w:w="1560" w:type="dxa"/>
          </w:tcPr>
          <w:p>
            <w:pPr/>
            <w:r>
              <w:t xml:space="preserve">Base café</w:t>
            </w:r>
          </w:p>
        </w:tc>
        <w:tc>
          <w:tcPr>
            <w:tcW w:w="1560" w:type="dxa"/>
          </w:tcPr>
          <w:p>
            <w:pPr/>
            <w:r>
              <w:t xml:space="preserve">Bonne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Taux de rétention annuel des membres</w:t>
            </w:r>
          </w:p>
        </w:tc>
        <w:tc>
          <w:tcPr>
            <w:tcW w:w="1560" w:type="dxa"/>
          </w:tcPr>
          <w:p>
            <w:pPr/>
            <w:r>
              <w:t xml:space="preserve">Résultat</w:t>
            </w:r>
          </w:p>
        </w:tc>
        <w:tc>
          <w:tcPr>
            <w:tcW w:w="1560" w:type="dxa"/>
          </w:tcPr>
          <w:p>
            <w:pPr/>
            <w:r>
              <w:t xml:space="preserve">99,6 % (2024 → 2025)</w:t>
            </w:r>
          </w:p>
        </w:tc>
        <w:tc>
          <w:tcPr>
            <w:tcW w:w="1560" w:type="dxa"/>
          </w:tcPr>
          <w:p>
            <w:pPr/>
            <w:r>
              <w:t xml:space="preserve">Base café</w:t>
            </w:r>
          </w:p>
        </w:tc>
        <w:tc>
          <w:tcPr>
            <w:tcW w:w="1560" w:type="dxa"/>
          </w:tcPr>
          <w:p>
            <w:pPr/>
            <w:r>
              <w:t xml:space="preserve">Bonne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Producteurs certifiés bio / fairtrade conformes</w:t>
            </w:r>
          </w:p>
        </w:tc>
        <w:tc>
          <w:tcPr>
            <w:tcW w:w="1560" w:type="dxa"/>
          </w:tcPr>
          <w:p>
            <w:pPr/>
            <w:r>
              <w:t xml:space="preserve">Résultat</w:t>
            </w:r>
          </w:p>
        </w:tc>
        <w:tc>
          <w:tcPr>
            <w:tcW w:w="1560" w:type="dxa"/>
          </w:tcPr>
          <w:p>
            <w:pPr/>
            <w:r>
              <w:t xml:space="preserve">86,9 % (2025)</w:t>
            </w:r>
          </w:p>
        </w:tc>
        <w:tc>
          <w:tcPr>
            <w:tcW w:w="1560" w:type="dxa"/>
          </w:tcPr>
          <w:p>
            <w:pPr/>
            <w:r>
              <w:t xml:space="preserve">Base café</w:t>
            </w:r>
          </w:p>
        </w:tc>
        <w:tc>
          <w:tcPr>
            <w:tcW w:w="1560" w:type="dxa"/>
          </w:tcPr>
          <w:p>
            <w:pPr/>
            <w:r>
              <w:t xml:space="preserve">Moyenne : statut manquant certaines années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Superficie de café sous gestion certifiée</w:t>
            </w:r>
          </w:p>
        </w:tc>
        <w:tc>
          <w:tcPr>
            <w:tcW w:w="1560" w:type="dxa"/>
          </w:tcPr>
          <w:p>
            <w:pPr/>
            <w:r>
              <w:t xml:space="preserve">Résultat</w:t>
            </w:r>
          </w:p>
        </w:tc>
        <w:tc>
          <w:tcPr>
            <w:tcW w:w="1560" w:type="dxa"/>
          </w:tcPr>
          <w:p>
            <w:pPr/>
            <w:r>
              <w:t xml:space="preserve">6 770 ha déclarés (2025)</w:t>
            </w:r>
          </w:p>
        </w:tc>
        <w:tc>
          <w:tcPr>
            <w:tcW w:w="1560" w:type="dxa"/>
          </w:tcPr>
          <w:p>
            <w:pPr/>
            <w:r>
              <w:t xml:space="preserve">Base café</w:t>
            </w:r>
          </w:p>
        </w:tc>
        <w:tc>
          <w:tcPr>
            <w:tcW w:w="1560" w:type="dxa"/>
          </w:tcPr>
          <w:p>
            <w:pPr/>
            <w:r>
              <w:t xml:space="preserve">Moyenne : déclaratif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Ménages cacao atteignant le revenu vital (seuil ajusté à la taille)</w:t>
            </w:r>
          </w:p>
        </w:tc>
        <w:tc>
          <w:tcPr>
            <w:tcW w:w="1560" w:type="dxa"/>
          </w:tcPr>
          <w:p>
            <w:pPr/>
            <w:r>
              <w:t xml:space="preserve">Impact</w:t>
            </w:r>
          </w:p>
        </w:tc>
        <w:tc>
          <w:tcPr>
            <w:tcW w:w="1560" w:type="dxa"/>
          </w:tcPr>
          <w:p>
            <w:pPr/>
            <w:r>
              <w:t xml:space="preserve">40 % (2024)</w:t>
            </w:r>
          </w:p>
        </w:tc>
        <w:tc>
          <w:tcPr>
            <w:tcW w:w="1560" w:type="dxa"/>
          </w:tcPr>
          <w:p>
            <w:pPr/>
            <w:r>
              <w:t xml:space="preserve">Enquête Living Income</w:t>
            </w:r>
          </w:p>
        </w:tc>
        <w:tc>
          <w:tcPr>
            <w:tcW w:w="1560" w:type="dxa"/>
          </w:tcPr>
          <w:p>
            <w:pPr/>
            <w:r>
              <w:t xml:space="preserve">Indicative : 88 ménages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Écart médian au revenu vital des ménages sous le seuil</w:t>
            </w:r>
          </w:p>
        </w:tc>
        <w:tc>
          <w:tcPr>
            <w:tcW w:w="1560" w:type="dxa"/>
          </w:tcPr>
          <w:p>
            <w:pPr/>
            <w:r>
              <w:t xml:space="preserve">Impact</w:t>
            </w:r>
          </w:p>
        </w:tc>
        <w:tc>
          <w:tcPr>
            <w:tcW w:w="1560" w:type="dxa"/>
          </w:tcPr>
          <w:p>
            <w:pPr/>
            <w:r>
              <w:t xml:space="preserve">2 225 USD/an (2024)</w:t>
            </w:r>
          </w:p>
        </w:tc>
        <w:tc>
          <w:tcPr>
            <w:tcW w:w="1560" w:type="dxa"/>
          </w:tcPr>
          <w:p>
            <w:pPr/>
            <w:r>
              <w:t xml:space="preserve">Enquête Living Income</w:t>
            </w:r>
          </w:p>
        </w:tc>
        <w:tc>
          <w:tcPr>
            <w:tcW w:w="1560" w:type="dxa"/>
          </w:tcPr>
          <w:p>
            <w:pPr/>
            <w:r>
              <w:t xml:space="preserve">Indicative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Part du cacao dans le revenu net des ménages</w:t>
            </w:r>
          </w:p>
        </w:tc>
        <w:tc>
          <w:tcPr>
            <w:tcW w:w="1560" w:type="dxa"/>
          </w:tcPr>
          <w:p>
            <w:pPr/>
            <w:r>
              <w:t xml:space="preserve">Résilience</w:t>
            </w:r>
          </w:p>
        </w:tc>
        <w:tc>
          <w:tcPr>
            <w:tcW w:w="1560" w:type="dxa"/>
          </w:tcPr>
          <w:p>
            <w:pPr/>
            <w:r>
              <w:t xml:space="preserve">87 % (2024)</w:t>
            </w:r>
          </w:p>
        </w:tc>
        <w:tc>
          <w:tcPr>
            <w:tcW w:w="1560" w:type="dxa"/>
          </w:tcPr>
          <w:p>
            <w:pPr/>
            <w:r>
              <w:t xml:space="preserve">Enquête Living Income</w:t>
            </w:r>
          </w:p>
        </w:tc>
        <w:tc>
          <w:tcPr>
            <w:tcW w:w="1560" w:type="dxa"/>
          </w:tcPr>
          <w:p>
            <w:pPr/>
            <w:r>
              <w:t xml:space="preserve">Indicative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Revenu net café par producteur</w:t>
            </w:r>
          </w:p>
        </w:tc>
        <w:tc>
          <w:tcPr>
            <w:tcW w:w="1560" w:type="dxa"/>
          </w:tcPr>
          <w:p>
            <w:pPr/>
            <w:r>
              <w:t xml:space="preserve">Impact</w:t>
            </w:r>
          </w:p>
        </w:tc>
        <w:tc>
          <w:tcPr>
            <w:tcW w:w="1560" w:type="dxa"/>
          </w:tcPr>
          <w:p>
            <w:pPr/>
            <w:r>
              <w:t xml:space="preserve">À mesurer</w:t>
            </w:r>
          </w:p>
        </w:tc>
        <w:tc>
          <w:tcPr>
            <w:tcW w:w="1560" w:type="dxa"/>
          </w:tcPr>
          <w:p>
            <w:pPr/>
            <w:r>
              <w:t xml:space="preserve">Ventes réelles (à créer)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Prix moyen payé au producteur de café (USD/kg)</w:t>
            </w:r>
          </w:p>
        </w:tc>
        <w:tc>
          <w:tcPr>
            <w:tcW w:w="1560" w:type="dxa"/>
          </w:tcPr>
          <w:p>
            <w:pPr/>
            <w:r>
              <w:t xml:space="preserve">Résultat</w:t>
            </w:r>
          </w:p>
        </w:tc>
        <w:tc>
          <w:tcPr>
            <w:tcW w:w="1560" w:type="dxa"/>
          </w:tcPr>
          <w:p>
            <w:pPr/>
            <w:r>
              <w:t xml:space="preserve">À mesurer</w:t>
            </w:r>
          </w:p>
        </w:tc>
        <w:tc>
          <w:tcPr>
            <w:tcW w:w="1560" w:type="dxa"/>
          </w:tcPr>
          <w:p>
            <w:pPr/>
            <w:r>
              <w:t xml:space="preserve">Bordereaux d'achat des coopératives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Rendement cacao (kg/ha productif)</w:t>
            </w:r>
          </w:p>
        </w:tc>
        <w:tc>
          <w:tcPr>
            <w:tcW w:w="1560" w:type="dxa"/>
          </w:tcPr>
          <w:p>
            <w:pPr/>
            <w:r>
              <w:t xml:space="preserve">Résultat</w:t>
            </w:r>
          </w:p>
        </w:tc>
        <w:tc>
          <w:tcPr>
            <w:tcW w:w="1560" w:type="dxa"/>
          </w:tcPr>
          <w:p>
            <w:pPr/>
            <w:r>
              <w:t xml:space="preserve">567 kg/ha (2024)</w:t>
            </w:r>
          </w:p>
        </w:tc>
        <w:tc>
          <w:tcPr>
            <w:tcW w:w="1560" w:type="dxa"/>
          </w:tcPr>
          <w:p>
            <w:pPr/>
            <w:r>
              <w:t xml:space="preserve">Enquête, puis suivi annuel</w:t>
            </w:r>
          </w:p>
        </w:tc>
        <w:tc>
          <w:tcPr>
            <w:tcW w:w="1560" w:type="dxa"/>
          </w:tcPr>
          <w:p>
            <w:pPr/>
            <w:r>
              <w:t xml:space="preserve">Indicative</w:t>
            </w:r>
          </w:p>
        </w:tc>
      </w:tr>
    </w:tbl>
    <w:p>
      <w:pPr/>
      <w:r>
        <w:t xml:space="preserve">Pour les indicateurs 7 à 9, il faut refaire l'enquête avec le même questionnaire à intervalle régulier, par exemple tous les 2 ans, sur un échantillon d'au moins 200 ménages dont 30 % de femmes.</w:t>
      </w:r>
    </w:p>
    <w:p>
      <w:pPr>
        <w:pStyle w:val="Heading2"/>
      </w:pPr>
      <w:r>
        <w:t xml:space="preserve">Recommandations et feuille de route</w:t>
      </w:r>
    </w:p>
    <w:p>
      <w:pPr/>
      <w:r>
        <w:t xml:space="preserve">La priorité est de passer d'indicateurs calculés à des revenus mesurés, sans perdre la continuité du reporting.</w:t>
      </w:r>
    </w:p>
    <w:p>
      <w:pPr/>
      <w:r>
        <w:drawing>
          <wp:inline distT="0" distB="0" distL="0" distR="0">
            <wp:extent cx="5486400" cy="2792185"/>
            <wp:docPr id="5" name="image5" descr="Feuille de route proposée · 3 phases, 2 décis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Feuille de route proposée · 3 phases, 2 décision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Feuille de route proposée · 3 phases, 2 décisions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Données</w:t>
      </w:r>
      <w:r>
        <w:t xml:space="preserve"> : signer un PV de validation partielle, puis corriger les 11 anomalies critiques et élevées listées plus haut avant la campagne 2026-2027.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Mesure du revenu café</w:t>
      </w:r>
      <w:r>
        <w:t xml:space="preserve"> : enregistrer pour chaque producteur les kilos livrés et le prix payé. Les coopératives disposent déjà de ces données dans leurs bordereaux d'achat.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Revenu vital cacao</w:t>
      </w:r>
      <w:r>
        <w:t xml:space="preserve"> : suivre l'indicateur ajusté à la taille des ménages et viser les leviers rendement (superficies non productives, 38 %) et diversification (13 % du revenu hors cacao aujourd'hui).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Inclusion</w:t>
      </w:r>
      <w:r>
        <w:t xml:space="preserve"> : fixer des cibles par coopérative plutôt qu'une cible globale, pour que la hausse venant des nouvelles OP ne masque pas les écarts de COOKKANZ (femmes) et de CKK (jeunes).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Pilotage</w:t>
      </w:r>
      <w:r>
        <w:t xml:space="preserve"> : utiliser le dashboard Power BI en comité de direction trimestriel, avec la page Qualité comme point permanent de l'ordre du jour.</w:t>
      </w:r>
    </w:p>
    <w:p>
      <w:pPr>
        <w:pStyle w:val="Heading2"/>
      </w:pPr>
      <w:r>
        <w:t xml:space="preserve">Annexes</w:t>
      </w:r>
    </w:p>
    <w:p>
      <w:pPr/>
      <w:r>
        <w:rPr>
          <w:b/>
        </w:rPr>
        <w:t xml:space="preserve">A. Dashboard Power BI.</w:t>
      </w:r>
      <w:r>
        <w:t xml:space="preserve"> Le projet </w:t>
      </w:r>
      <w:r>
        <w:rPr>
          <w:rStyle w:val="CodeChar"/>
        </w:rPr>
        <w:t xml:space="preserve">Livrables/PowerBI/Rikolto_Cafe_Cacao.pbip</w:t>
      </w:r>
      <w:r>
        <w:t xml:space="preserve"> s'ouvre dans Power BI Desktop. Il contient 7 tables, 47 mesures DAX et 5 pages, lisibles dans cet ordre :</w:t>
      </w:r>
    </w:p>
    <w:p>
      <w:pPr>
        <w:pStyle w:val="ListParagraph"/>
        <w:numPr>
          <w:ilvl w:val="0"/>
          <w:numId w:val="6"/>
        </w:numPr>
      </w:pPr>
      <w:r>
        <w:t xml:space="preserve">Synthèse direction : effectifs, inclusion, production et revenu vital en un écran.</w:t>
      </w:r>
    </w:p>
    <w:p>
      <w:pPr>
        <w:pStyle w:val="ListParagraph"/>
        <w:numPr>
          <w:ilvl w:val="0"/>
          <w:numId w:val="6"/>
        </w:numPr>
      </w:pPr>
      <w:r>
        <w:t xml:space="preserve">Café – Bénéficiaires &amp; inclusion : effectifs par campagne et coopérative, part des femmes et des jeunes, rétention.</w:t>
      </w:r>
    </w:p>
    <w:p>
      <w:pPr>
        <w:pStyle w:val="ListParagraph"/>
        <w:numPr>
          <w:ilvl w:val="0"/>
          <w:numId w:val="6"/>
        </w:numPr>
      </w:pPr>
      <w:r>
        <w:t xml:space="preserve">Café – Production &amp; économie : superficie, production, chiffre d'affaires, avec l'avertissement sur les valeurs estimées.</w:t>
      </w:r>
    </w:p>
    <w:p>
      <w:pPr>
        <w:pStyle w:val="ListParagraph"/>
        <w:numPr>
          <w:ilvl w:val="0"/>
          <w:numId w:val="6"/>
        </w:numPr>
      </w:pPr>
      <w:r>
        <w:t xml:space="preserve">Cacao – Revenu vital : écart au seuil Anker, sources de revenu, planteurs Okapi.</w:t>
      </w:r>
    </w:p>
    <w:p>
      <w:pPr>
        <w:pStyle w:val="ListParagraph"/>
        <w:numPr>
          <w:ilvl w:val="0"/>
          <w:numId w:val="6"/>
        </w:numPr>
      </w:pPr>
      <w:r>
        <w:t xml:space="preserve">Qualité des données : les 23 contrôles du registre, par gravité.</w:t>
      </w:r>
    </w:p>
    <w:p>
      <w:pPr/>
      <w:r>
        <w:t xml:space="preserve">Les scripts </w:t>
      </w:r>
      <w:r>
        <w:rPr>
          <w:rStyle w:val="CodeChar"/>
        </w:rPr>
        <w:t xml:space="preserve">PowerBI/_generateur/build_model.py</w:t>
      </w:r>
      <w:r>
        <w:t xml:space="preserve"> et </w:t>
      </w:r>
      <w:r>
        <w:rPr>
          <w:rStyle w:val="CodeChar"/>
        </w:rPr>
        <w:t xml:space="preserve">build_report.py</w:t>
      </w:r>
      <w:r>
        <w:t xml:space="preserve"> régénèrent le modèle et les pages si les données changent.</w:t>
      </w:r>
    </w:p>
    <w:p>
      <w:pPr/>
      <w:r>
        <w:rPr>
          <w:b/>
        </w:rPr>
        <w:t xml:space="preserve">B. Fichiers de données livrés</w:t>
      </w:r>
      <w:r>
        <w:t xml:space="preserve"> (</w:t>
      </w:r>
      <w:r>
        <w:rPr>
          <w:rStyle w:val="CodeChar"/>
        </w:rPr>
        <w:t xml:space="preserve">Livrables/Donnees</w:t>
      </w:r>
      <w:r>
        <w:t xml:space="preserve">, CSV UTF-8)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Fichier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Contenu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Lignes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fact_cafe_producteurs.csv</w:t>
            </w:r>
          </w:p>
        </w:tc>
        <w:tc>
          <w:tcPr>
            <w:tcW w:w="3120" w:type="dxa"/>
          </w:tcPr>
          <w:p>
            <w:pPr/>
            <w:r>
              <w:t xml:space="preserve">Base café consolidée 2019-2025, une ligne par producteur et par campagne</w:t>
            </w:r>
          </w:p>
        </w:tc>
        <w:tc>
          <w:tcPr>
            <w:tcW w:w="3120" w:type="dxa"/>
          </w:tcPr>
          <w:p>
            <w:pPr/>
            <w:r>
              <w:t xml:space="preserve">42 433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fact_cacao_menages.csv</w:t>
            </w:r>
          </w:p>
        </w:tc>
        <w:tc>
          <w:tcPr>
            <w:tcW w:w="3120" w:type="dxa"/>
          </w:tcPr>
          <w:p>
            <w:pPr/>
            <w:r>
              <w:t xml:space="preserve">Enquête Living Income cacao, ménages retenus</w:t>
            </w:r>
          </w:p>
        </w:tc>
        <w:tc>
          <w:tcPr>
            <w:tcW w:w="3120" w:type="dxa"/>
          </w:tcPr>
          <w:p>
            <w:pPr/>
            <w:r>
              <w:t xml:space="preserve">88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fact_cacao_sources_revenu.csv</w:t>
            </w:r>
          </w:p>
        </w:tc>
        <w:tc>
          <w:tcPr>
            <w:tcW w:w="3120" w:type="dxa"/>
          </w:tcPr>
          <w:p>
            <w:pPr/>
            <w:r>
              <w:t xml:space="preserve">Revenus cacao par ménage et par source (format long)</w:t>
            </w:r>
          </w:p>
        </w:tc>
        <w:tc>
          <w:tcPr>
            <w:tcW w:w="3120" w:type="dxa"/>
          </w:tcPr>
          <w:p>
            <w:pPr/>
            <w:r>
              <w:t xml:space="preserve">616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fact_cacao_okapi_planteurs.csv</w:t>
            </w:r>
          </w:p>
        </w:tc>
        <w:tc>
          <w:tcPr>
            <w:tcW w:w="3120" w:type="dxa"/>
          </w:tcPr>
          <w:p>
            <w:pPr/>
            <w:r>
              <w:t xml:space="preserve">Liste des planteurs Cacao Okapi</w:t>
            </w:r>
          </w:p>
        </w:tc>
        <w:tc>
          <w:tcPr>
            <w:tcW w:w="3120" w:type="dxa"/>
          </w:tcPr>
          <w:p>
            <w:pPr/>
            <w:r>
              <w:t xml:space="preserve">301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qualite_controles.csv</w:t>
            </w:r>
          </w:p>
        </w:tc>
        <w:tc>
          <w:tcPr>
            <w:tcW w:w="3120" w:type="dxa"/>
          </w:tcPr>
          <w:p>
            <w:pPr/>
            <w:r>
              <w:t xml:space="preserve">Registre des contrôles qualité, base du PV de validation</w:t>
            </w:r>
          </w:p>
        </w:tc>
        <w:tc>
          <w:tcPr>
            <w:tcW w:w="3120" w:type="dxa"/>
          </w:tcPr>
          <w:p>
            <w:pPr/>
            <w:r>
              <w:t xml:space="preserve">23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parametres.csv</w:t>
            </w:r>
          </w:p>
        </w:tc>
        <w:tc>
          <w:tcPr>
            <w:tcW w:w="3120" w:type="dxa"/>
          </w:tcPr>
          <w:p>
            <w:pPr/>
            <w:r>
              <w:t xml:space="preserve">Seuils utilisés (revenu vital, taille de ménage, pauvreté extrême)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</w:tbl>
    <w:p>
      <w:pPr/>
      <w:r>
        <w:rPr>
          <w:b/>
        </w:rPr>
        <w:t xml:space="preserve">C. Sources.</w:t>
      </w:r>
    </w:p>
    <w:p>
      <w:pPr>
        <w:pStyle w:val="ListParagraph"/>
        <w:numPr>
          <w:ilvl w:val="0"/>
          <w:numId w:val="7"/>
        </w:numPr>
      </w:pPr>
      <w:r>
        <w:t xml:space="preserve">DONNEES_RIKOLTO_CONSOLIDEES 2019-2025.xlsx (base café).</w:t>
      </w:r>
    </w:p>
    <w:p>
      <w:pPr>
        <w:pStyle w:val="ListParagraph"/>
        <w:numPr>
          <w:ilvl w:val="0"/>
          <w:numId w:val="7"/>
        </w:numPr>
      </w:pPr>
      <w:r>
        <w:t xml:space="preserve">Living Income Report : fichiers Check sections.xlsx et check yields.xlsx (enquête cacao, mars 2024).</w:t>
      </w:r>
    </w:p>
    <w:p>
      <w:pPr>
        <w:pStyle w:val="ListParagraph"/>
        <w:numPr>
          <w:ilvl w:val="0"/>
          <w:numId w:val="7"/>
        </w:numPr>
      </w:pPr>
      <w:r>
        <w:t xml:space="preserve">Liste Cacao Okapi vf.xlsx (planteurs).</w:t>
      </w:r>
    </w:p>
    <w:p>
      <w:pPr>
        <w:pStyle w:val="ListParagraph"/>
        <w:numPr>
          <w:ilvl w:val="0"/>
          <w:numId w:val="7"/>
        </w:numPr>
      </w:pPr>
      <w:r>
        <w:t xml:space="preserve">Anker Research Institute, valeur de référence du revenu vital, RDC rurale, mise à jour 2025.</w:t>
      </w:r>
    </w:p>
    <w:p>
      <w:pPr>
        <w:pStyle w:val="ListParagraph"/>
        <w:numPr>
          <w:ilvl w:val="0"/>
          <w:numId w:val="7"/>
        </w:numPr>
      </w:pPr>
      <w:r>
        <w:t xml:space="preserve">Banque mondiale, seuil de pauvreté extrême de 2,15 USD par personne et par jour (PPA 2017).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nkerresearchinstitute.org/democratic-republic-of-congo-reference/livingwage-nonmetroargentina-2020-emhn8-6k6ew-59zrl-etamz-dzkjn-lrzgj-rr5rf-wgeth-8cwff-wsw2x-j2z8p" TargetMode="External"/><Relationship Id="rId4" Type="http://schemas.openxmlformats.org/officeDocument/2006/relationships/hyperlink" Target="https://www.globallivingwage.org/wp-content/uploads/2021/09/Rural-DRC-LI-Reference-Value-FINAL-Sept-13-2021.pdf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Rapport à la direction – Café &amp; Cacao 2019-2025</dc:title>
  <dc:description>Claude Docs node/9ac9a2c3-f681@10 docx-w6</dc:description>
  <cp:revision>10</cp:revision>
</cp:coreProperties>
</file>