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Kestrel Pay Employee Handbook</w:t>
      </w:r>
    </w:p>
    <w:p>
      <w:r>
        <w:rPr/>
        <w:t>2026 edition. Owner: Marco Bianchi, Head of People. Last updated 2 July 2026.</w:t>
      </w:r>
    </w:p>
    <w:p>
      <w:pPr>
        <w:pStyle w:val="Heading2"/>
      </w:pPr>
      <w:r>
        <w:rPr/>
        <w:t>Welcome</w:t>
      </w:r>
    </w:p>
    <w:p>
      <w:r>
        <w:rPr/>
        <w:t>Welcome to Kestrel Pay. We started in 2017 because small businesses deserved better payments than they were getting from banks. Nine years on, about 48,000 merchants trust us with their money, and every one of them depends on us getting the details right.</w:t>
      </w:r>
    </w:p>
    <w:p>
      <w:r>
        <w:rPr/>
        <w:t>This handbook tells you how things work here: hours, pay, time off, equipment, and what we expect of each other. It is a summary. Where a policy is mentioned, the policy is what counts, and the current version is always in /HR/Policies or /Company.</w:t>
      </w:r>
    </w:p>
    <w:p>
      <w:r>
        <w:rPr/>
        <w:t>Amara Okafor, Chief Executive Officer</w:t>
      </w:r>
    </w:p>
    <w:p>
      <w:pPr>
        <w:pStyle w:val="Heading2"/>
      </w:pPr>
      <w:r>
        <w:rPr/>
        <w:t>1. About Kestrel Pay</w:t>
      </w:r>
    </w:p>
    <w:p>
      <w:pPr>
        <w:pStyle w:val="ListBullet"/>
      </w:pPr>
      <w:r>
        <w:rPr/>
        <w:t>Kestrel Pay Ltd is a London fintech, founded in 2017, with about 600 people in three offices: London (headquarters), Lisbon and Dublin.</w:t>
      </w:r>
    </w:p>
    <w:p>
      <w:pPr>
        <w:pStyle w:val="ListBullet"/>
      </w:pPr>
      <w:r>
        <w:rPr/>
        <w:t xml:space="preserve">We serve small and medium businesses in the UK and the EU with three products: </w:t>
      </w:r>
      <w:r>
        <w:rPr>
          <w:b/>
        </w:rPr>
        <w:t>Kestrel Checkout</w:t>
      </w:r>
      <w:r>
        <w:rPr/>
        <w:t xml:space="preserve"> (card acceptance), </w:t>
      </w:r>
      <w:r>
        <w:rPr>
          <w:b/>
        </w:rPr>
        <w:t>Kestrel Accounts</w:t>
      </w:r>
      <w:r>
        <w:rPr/>
        <w:t xml:space="preserve"> (business current accounts) and </w:t>
      </w:r>
      <w:r>
        <w:rPr>
          <w:b/>
        </w:rPr>
        <w:t>Kestrel Payouts</w:t>
      </w:r>
      <w:r>
        <w:rPr/>
        <w:t xml:space="preserve"> (supplier and payroll payouts).</w:t>
      </w:r>
    </w:p>
    <w:p>
      <w:pPr>
        <w:pStyle w:val="ListBullet"/>
      </w:pPr>
      <w:r>
        <w:rPr/>
        <w:t>We had about 48,000 merchant customers at the end of Q2 2026.</w:t>
      </w:r>
    </w:p>
    <w:p>
      <w:pPr>
        <w:pStyle w:val="ListBullet"/>
      </w:pPr>
      <w:r>
        <w:rPr/>
        <w:t>We are an electronic money institution authorised by the Financial Conduct Authority, firm reference number 999901. That status comes with duties every employee shares: protecting customer money, preventing financial crime and treating customers fairly.</w:t>
      </w:r>
    </w:p>
    <w:p>
      <w:pPr>
        <w:pStyle w:val="ListBullet"/>
      </w:pPr>
      <w:r>
        <w:rPr/>
        <w:t>Our financial year is the calendar year, and we report in pounds sterling.</w:t>
      </w:r>
    </w:p>
    <w:p>
      <w:pPr>
        <w:pStyle w:val="Heading2"/>
      </w:pPr>
      <w:r>
        <w:rPr/>
        <w:t>2. How we work</w:t>
      </w:r>
    </w:p>
    <w:p>
      <w:pPr>
        <w:pStyle w:val="Heading3"/>
      </w:pPr>
      <w:r>
        <w:rPr/>
        <w:t>2.1 Hours</w:t>
      </w:r>
    </w:p>
    <w:p>
      <w:r>
        <w:rPr/>
        <w:t>Full-time hours are 37.5 a week. Core hours are 10:00 to 16:00 local time, Monday to Friday; outside those, agree your pattern with your manager. Some teams, such as Customer Success and on-call engineers, work rotas.</w:t>
      </w:r>
    </w:p>
    <w:p>
      <w:pPr>
        <w:pStyle w:val="Heading3"/>
      </w:pPr>
      <w:r>
        <w:rPr/>
        <w:t>2.2 Hybrid working</w:t>
      </w:r>
    </w:p>
    <w:p>
      <w:r>
        <w:rPr/>
        <w:t>We expect you in the office at least 2 days a week. Each department sets anchor days so teams overlap; check with your manager. Book a desk in Kestrel Desks by 18:00 the day before. You can work from another country for up to 20 working days a year with your manager's approval and a check by the People team, because of tax and regulatory rules.</w:t>
      </w:r>
    </w:p>
    <w:p>
      <w:pPr>
        <w:pStyle w:val="Heading3"/>
      </w:pPr>
      <w:r>
        <w:rPr/>
        <w:t>2.3 Probation and notice</w:t>
      </w:r>
    </w:p>
    <w:p>
      <w:pPr>
        <w:pStyle w:val="ListBullet"/>
      </w:pPr>
      <w:r>
        <w:rPr/>
        <w:t>Probation lasts 3 months, or 6 months for Director level and above. Your manager will meet you at the end of month 1 and month 3.</w:t>
      </w:r>
    </w:p>
    <w:p>
      <w:pPr>
        <w:pStyle w:val="ListBullet"/>
      </w:pPr>
      <w:r>
        <w:rPr/>
        <w:t>During probation the notice period on either side is 1 week.</w:t>
      </w:r>
    </w:p>
    <w:p>
      <w:pPr>
        <w:pStyle w:val="ListBullet"/>
      </w:pPr>
      <w:r>
        <w:rPr/>
        <w:t>After probation it is 1 month, or 3 months for people managers and above, unless your contract says otherwise.</w:t>
      </w:r>
    </w:p>
    <w:p>
      <w:pPr>
        <w:pStyle w:val="Heading2"/>
      </w:pPr>
      <w:r>
        <w:rPr/>
        <w:t>3. Pay and benefits</w:t>
      </w:r>
    </w:p>
    <w:tbl>
      <w:tblPr>
        <w:tblStyle w:val="TableGrid"/>
        <w:tblW w:type="auto" w:w="0"/>
        <w:tblLook w:firstColumn="1" w:firstRow="1" w:lastColumn="0" w:lastRow="0" w:noHBand="0" w:noVBand="1" w:val="04A0"/>
      </w:tblPr>
      <w:tblGrid>
        <w:gridCol w:w="2160"/>
        <w:gridCol w:w="2160"/>
        <w:gridCol w:w="2160"/>
        <w:gridCol w:w="2160"/>
      </w:tblGrid>
      <w:tr>
        <w:trPr>
          <w:tblHeader/>
        </w:trPr>
        <w:tc>
          <w:tcPr>
            <w:tcW w:type="dxa" w:w="2160"/>
          </w:tcPr>
          <w:p>
            <w:pPr>
              <w:jc w:val="left"/>
            </w:pPr>
            <w:r>
              <w:rPr>
                <w:b/>
              </w:rPr>
              <w:t>Benefit</w:t>
            </w:r>
          </w:p>
        </w:tc>
        <w:tc>
          <w:tcPr>
            <w:tcW w:type="dxa" w:w="2160"/>
          </w:tcPr>
          <w:p>
            <w:pPr>
              <w:jc w:val="left"/>
            </w:pPr>
            <w:r>
              <w:rPr>
                <w:b/>
              </w:rPr>
              <w:t>UK</w:t>
            </w:r>
          </w:p>
        </w:tc>
        <w:tc>
          <w:tcPr>
            <w:tcW w:type="dxa" w:w="2160"/>
          </w:tcPr>
          <w:p>
            <w:pPr>
              <w:jc w:val="left"/>
            </w:pPr>
            <w:r>
              <w:rPr>
                <w:b/>
              </w:rPr>
              <w:t>Portugal</w:t>
            </w:r>
          </w:p>
        </w:tc>
        <w:tc>
          <w:tcPr>
            <w:tcW w:type="dxa" w:w="2160"/>
          </w:tcPr>
          <w:p>
            <w:pPr>
              <w:jc w:val="left"/>
            </w:pPr>
            <w:r>
              <w:rPr>
                <w:b/>
              </w:rPr>
              <w:t>Ireland</w:t>
            </w:r>
          </w:p>
        </w:tc>
      </w:tr>
      <w:tr>
        <w:tc>
          <w:tcPr>
            <w:tcW w:type="dxa" w:w="2160"/>
          </w:tcPr>
          <w:p>
            <w:pPr>
              <w:jc w:val="left"/>
            </w:pPr>
            <w:r>
              <w:rPr/>
              <w:t>Pay day</w:t>
            </w:r>
          </w:p>
        </w:tc>
        <w:tc>
          <w:tcPr>
            <w:tcW w:type="dxa" w:w="2160"/>
          </w:tcPr>
          <w:p>
            <w:pPr>
              <w:jc w:val="left"/>
            </w:pPr>
            <w:r>
              <w:rPr/>
              <w:t>25th of the month, or the last working day before</w:t>
            </w:r>
          </w:p>
        </w:tc>
        <w:tc>
          <w:tcPr>
            <w:tcW w:type="dxa" w:w="2160"/>
          </w:tcPr>
          <w:p>
            <w:pPr>
              <w:jc w:val="left"/>
            </w:pPr>
            <w:r>
              <w:rPr/>
              <w:t>Same</w:t>
            </w:r>
          </w:p>
        </w:tc>
        <w:tc>
          <w:tcPr>
            <w:tcW w:type="dxa" w:w="2160"/>
          </w:tcPr>
          <w:p>
            <w:pPr>
              <w:jc w:val="left"/>
            </w:pPr>
            <w:r>
              <w:rPr/>
              <w:t>Same</w:t>
            </w:r>
          </w:p>
        </w:tc>
      </w:tr>
      <w:tr>
        <w:tc>
          <w:tcPr>
            <w:tcW w:type="dxa" w:w="2160"/>
          </w:tcPr>
          <w:p>
            <w:pPr>
              <w:jc w:val="left"/>
            </w:pPr>
            <w:r>
              <w:rPr/>
              <w:t>Pension</w:t>
            </w:r>
          </w:p>
        </w:tc>
        <w:tc>
          <w:tcPr>
            <w:tcW w:type="dxa" w:w="2160"/>
          </w:tcPr>
          <w:p>
            <w:pPr>
              <w:jc w:val="left"/>
            </w:pPr>
            <w:r>
              <w:rPr/>
              <w:t>We match your contributions up to 6% of salary</w:t>
            </w:r>
          </w:p>
        </w:tc>
        <w:tc>
          <w:tcPr>
            <w:tcW w:type="dxa" w:w="2160"/>
          </w:tcPr>
          <w:p>
            <w:pPr>
              <w:jc w:val="left"/>
            </w:pPr>
            <w:r>
              <w:rPr/>
              <w:t>Supplementary pension plan, 4% employer contribution</w:t>
            </w:r>
          </w:p>
        </w:tc>
        <w:tc>
          <w:tcPr>
            <w:tcW w:type="dxa" w:w="2160"/>
          </w:tcPr>
          <w:p>
            <w:pPr>
              <w:jc w:val="left"/>
            </w:pPr>
            <w:r>
              <w:rPr/>
              <w:t>Occupational pension, we match up to 6%</w:t>
            </w:r>
          </w:p>
        </w:tc>
      </w:tr>
      <w:tr>
        <w:tc>
          <w:tcPr>
            <w:tcW w:type="dxa" w:w="2160"/>
          </w:tcPr>
          <w:p>
            <w:pPr>
              <w:jc w:val="left"/>
            </w:pPr>
            <w:r>
              <w:rPr/>
              <w:t>Private medical insurance</w:t>
            </w:r>
          </w:p>
        </w:tc>
        <w:tc>
          <w:tcPr>
            <w:tcW w:type="dxa" w:w="2160"/>
          </w:tcPr>
          <w:p>
            <w:pPr>
              <w:jc w:val="left"/>
            </w:pPr>
            <w:r>
              <w:rPr/>
              <w:t>You, with family cover at a discount</w:t>
            </w:r>
          </w:p>
        </w:tc>
        <w:tc>
          <w:tcPr>
            <w:tcW w:type="dxa" w:w="2160"/>
          </w:tcPr>
          <w:p>
            <w:pPr>
              <w:jc w:val="left"/>
            </w:pPr>
            <w:r>
              <w:rPr/>
              <w:t>You and your dependants</w:t>
            </w:r>
          </w:p>
        </w:tc>
        <w:tc>
          <w:tcPr>
            <w:tcW w:type="dxa" w:w="2160"/>
          </w:tcPr>
          <w:p>
            <w:pPr>
              <w:jc w:val="left"/>
            </w:pPr>
            <w:r>
              <w:rPr/>
              <w:t>You, with family cover at a discount</w:t>
            </w:r>
          </w:p>
        </w:tc>
      </w:tr>
      <w:tr>
        <w:tc>
          <w:tcPr>
            <w:tcW w:type="dxa" w:w="2160"/>
          </w:tcPr>
          <w:p>
            <w:pPr>
              <w:jc w:val="left"/>
            </w:pPr>
            <w:r>
              <w:rPr/>
              <w:t>Life assurance</w:t>
            </w:r>
          </w:p>
        </w:tc>
        <w:tc>
          <w:tcPr>
            <w:tcW w:type="dxa" w:w="2160"/>
          </w:tcPr>
          <w:p>
            <w:pPr>
              <w:jc w:val="left"/>
            </w:pPr>
            <w:r>
              <w:rPr/>
              <w:t>4 times salary</w:t>
            </w:r>
          </w:p>
        </w:tc>
        <w:tc>
          <w:tcPr>
            <w:tcW w:type="dxa" w:w="2160"/>
          </w:tcPr>
          <w:p>
            <w:pPr>
              <w:jc w:val="left"/>
            </w:pPr>
            <w:r>
              <w:rPr/>
              <w:t>4 times salary</w:t>
            </w:r>
          </w:p>
        </w:tc>
        <w:tc>
          <w:tcPr>
            <w:tcW w:type="dxa" w:w="2160"/>
          </w:tcPr>
          <w:p>
            <w:pPr>
              <w:jc w:val="left"/>
            </w:pPr>
            <w:r>
              <w:rPr/>
              <w:t>4 times salary</w:t>
            </w:r>
          </w:p>
        </w:tc>
      </w:tr>
      <w:tr>
        <w:tc>
          <w:tcPr>
            <w:tcW w:type="dxa" w:w="2160"/>
          </w:tcPr>
          <w:p>
            <w:pPr>
              <w:jc w:val="left"/>
            </w:pPr>
            <w:r>
              <w:rPr/>
              <w:t>Learning budget</w:t>
            </w:r>
          </w:p>
        </w:tc>
        <w:tc>
          <w:tcPr>
            <w:tcW w:type="dxa" w:w="2160"/>
          </w:tcPr>
          <w:p>
            <w:pPr>
              <w:jc w:val="left"/>
            </w:pPr>
            <w:r>
              <w:rPr/>
              <w:t>£1,000 a year</w:t>
            </w:r>
          </w:p>
        </w:tc>
        <w:tc>
          <w:tcPr>
            <w:tcW w:type="dxa" w:w="2160"/>
          </w:tcPr>
          <w:p>
            <w:pPr>
              <w:jc w:val="left"/>
            </w:pPr>
            <w:r>
              <w:rPr/>
              <w:t>€1,150 a year</w:t>
            </w:r>
          </w:p>
        </w:tc>
        <w:tc>
          <w:tcPr>
            <w:tcW w:type="dxa" w:w="2160"/>
          </w:tcPr>
          <w:p>
            <w:pPr>
              <w:jc w:val="left"/>
            </w:pPr>
            <w:r>
              <w:rPr/>
              <w:t>€1,150 a year</w:t>
            </w:r>
          </w:p>
        </w:tc>
      </w:tr>
      <w:tr>
        <w:tc>
          <w:tcPr>
            <w:tcW w:type="dxa" w:w="2160"/>
          </w:tcPr>
          <w:p>
            <w:pPr>
              <w:jc w:val="left"/>
            </w:pPr>
            <w:r>
              <w:rPr/>
              <w:t>Cycle to work</w:t>
            </w:r>
          </w:p>
        </w:tc>
        <w:tc>
          <w:tcPr>
            <w:tcW w:type="dxa" w:w="2160"/>
          </w:tcPr>
          <w:p>
            <w:pPr>
              <w:jc w:val="left"/>
            </w:pPr>
            <w:r>
              <w:rPr/>
              <w:t>Yes</w:t>
            </w:r>
          </w:p>
        </w:tc>
        <w:tc>
          <w:tcPr>
            <w:tcW w:type="dxa" w:w="2160"/>
          </w:tcPr>
          <w:p>
            <w:pPr>
              <w:jc w:val="left"/>
            </w:pPr>
            <w:r>
              <w:rPr/>
              <w:t>No</w:t>
            </w:r>
          </w:p>
        </w:tc>
        <w:tc>
          <w:tcPr>
            <w:tcW w:type="dxa" w:w="2160"/>
          </w:tcPr>
          <w:p>
            <w:pPr>
              <w:jc w:val="left"/>
            </w:pPr>
            <w:r>
              <w:rPr/>
              <w:t>Bike to Work scheme</w:t>
            </w:r>
          </w:p>
        </w:tc>
      </w:tr>
    </w:tbl>
    <w:p/>
    <w:p>
      <w:r>
        <w:rPr/>
        <w:t>Pay rises are decided once a year and take effect on 1 April. Promotions are decided twice a year: H1 promotions take effect on 1 July and H2 promotions on 1 January.</w:t>
      </w:r>
    </w:p>
    <w:p>
      <w:pPr>
        <w:pStyle w:val="Heading2"/>
      </w:pPr>
      <w:r>
        <w:rPr/>
        <w:t>4. Time off</w:t>
      </w:r>
    </w:p>
    <w:p>
      <w:pPr>
        <w:pStyle w:val="ListBullet"/>
      </w:pPr>
      <w:r>
        <w:rPr>
          <w:b/>
        </w:rPr>
        <w:t>Annual leave:</w:t>
      </w:r>
      <w:r>
        <w:rPr/>
        <w:t xml:space="preserve"> 27 days a year in the UK, and 25 days in Portugal and Ireland, plus local public holidays.</w:t>
      </w:r>
    </w:p>
    <w:p>
      <w:pPr>
        <w:pStyle w:val="ListBullet"/>
      </w:pPr>
      <w:r>
        <w:rPr>
          <w:b/>
        </w:rPr>
        <w:t>Winter closure:</w:t>
      </w:r>
      <w:r>
        <w:rPr/>
        <w:t xml:space="preserve"> all offices close between Christmas and New Year. In 2026 the closure days are 29, 30 and 31 December, and they do not come out of your annual leave.</w:t>
      </w:r>
    </w:p>
    <w:p>
      <w:pPr>
        <w:pStyle w:val="ListBullet"/>
      </w:pPr>
      <w:r>
        <w:rPr>
          <w:b/>
        </w:rPr>
        <w:t>Sickness, family leave, compassionate leave and volunteering:</w:t>
      </w:r>
      <w:r>
        <w:rPr/>
        <w:t xml:space="preserve"> see the Leave Policy in /HR/Policies.</w:t>
      </w:r>
    </w:p>
    <w:p>
      <w:pPr>
        <w:pStyle w:val="ListBullet"/>
      </w:pPr>
      <w:r>
        <w:rPr/>
        <w:t>The 2026 public holidays for each office are listed in the 2026 Holiday Calendar in /Company.</w:t>
      </w:r>
    </w:p>
    <w:p>
      <w:r>
        <w:rPr/>
        <w:t>Book all leave in Kestrel People.</w:t>
      </w:r>
    </w:p>
    <w:p>
      <w:pPr>
        <w:pStyle w:val="Heading2"/>
      </w:pPr>
      <w:r>
        <w:rPr/>
        <w:t>5. Expenses</w:t>
      </w:r>
    </w:p>
    <w:p>
      <w:r>
        <w:rPr/>
        <w:t>Kestrel pays back reasonable costs you incur on company business. The limits, receipt rules and how to claim are in the Travel and Expenses Policy in /HR/Policies. Always check the version in force on the date you spend the money; this handbook does not repeat the limits.</w:t>
      </w:r>
    </w:p>
    <w:p>
      <w:pPr>
        <w:pStyle w:val="Heading2"/>
      </w:pPr>
      <w:r>
        <w:rPr/>
        <w:t>6. Equipment and IT</w:t>
      </w:r>
    </w:p>
    <w:p>
      <w:pPr>
        <w:pStyle w:val="ListBullet"/>
      </w:pPr>
      <w:r>
        <w:rPr/>
        <w:t>IT gives you a laptop on your first day, set up with Microsoft 365, Teams and the Kestrel assistant. Tariq Aziz, IT Administrator, runs the IT setup session for new starters every Monday at 10:00.</w:t>
      </w:r>
    </w:p>
    <w:p>
      <w:pPr>
        <w:pStyle w:val="ListBullet"/>
      </w:pPr>
      <w:r>
        <w:rPr/>
        <w:t>Multi-factor authentication is required on every account.</w:t>
      </w:r>
    </w:p>
    <w:p>
      <w:pPr>
        <w:pStyle w:val="ListBullet"/>
      </w:pPr>
      <w:r>
        <w:rPr/>
        <w:t>Install only software from the company app catalogue.</w:t>
      </w:r>
    </w:p>
    <w:p>
      <w:pPr>
        <w:pStyle w:val="ListBullet"/>
      </w:pPr>
      <w:r>
        <w:rPr/>
        <w:t>Report a lost or stolen device to IT and to security@kestrelpay.example within 1 hour, day or night.</w:t>
      </w:r>
    </w:p>
    <w:p>
      <w:pPr>
        <w:pStyle w:val="ListBullet"/>
      </w:pPr>
      <w:r>
        <w:rPr/>
        <w:t>Use the "Report phishing" button in Outlook for anything suspicious. Lena Fischer's Security team reviews every report.</w:t>
      </w:r>
    </w:p>
    <w:p>
      <w:pPr>
        <w:pStyle w:val="Heading2"/>
      </w:pPr>
      <w:r>
        <w:rPr/>
        <w:t>7. Information security</w:t>
      </w:r>
    </w:p>
    <w:p>
      <w:r>
        <w:rPr/>
        <w:t>We classify information in four levels:</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tcPr>
          <w:p>
            <w:pPr>
              <w:jc w:val="left"/>
            </w:pPr>
            <w:r>
              <w:rPr>
                <w:b/>
              </w:rPr>
              <w:t>Level</w:t>
            </w:r>
          </w:p>
        </w:tc>
        <w:tc>
          <w:tcPr>
            <w:tcW w:type="dxa" w:w="2880"/>
          </w:tcPr>
          <w:p>
            <w:pPr>
              <w:jc w:val="left"/>
            </w:pPr>
            <w:r>
              <w:rPr>
                <w:b/>
              </w:rPr>
              <w:t>Examples</w:t>
            </w:r>
          </w:p>
        </w:tc>
        <w:tc>
          <w:tcPr>
            <w:tcW w:type="dxa" w:w="2880"/>
          </w:tcPr>
          <w:p>
            <w:pPr>
              <w:jc w:val="left"/>
            </w:pPr>
            <w:r>
              <w:rPr>
                <w:b/>
              </w:rPr>
              <w:t>Rule</w:t>
            </w:r>
          </w:p>
        </w:tc>
      </w:tr>
      <w:tr>
        <w:tc>
          <w:tcPr>
            <w:tcW w:type="dxa" w:w="2880"/>
          </w:tcPr>
          <w:p>
            <w:pPr>
              <w:jc w:val="left"/>
            </w:pPr>
            <w:r>
              <w:rPr/>
              <w:t>Public</w:t>
            </w:r>
          </w:p>
        </w:tc>
        <w:tc>
          <w:tcPr>
            <w:tcW w:type="dxa" w:w="2880"/>
          </w:tcPr>
          <w:p>
            <w:pPr>
              <w:jc w:val="left"/>
            </w:pPr>
            <w:r>
              <w:rPr/>
              <w:t>Website, published prices</w:t>
            </w:r>
          </w:p>
        </w:tc>
        <w:tc>
          <w:tcPr>
            <w:tcW w:type="dxa" w:w="2880"/>
          </w:tcPr>
          <w:p>
            <w:pPr>
              <w:jc w:val="left"/>
            </w:pPr>
            <w:r>
              <w:rPr/>
              <w:t>Share freely</w:t>
            </w:r>
          </w:p>
        </w:tc>
      </w:tr>
      <w:tr>
        <w:tc>
          <w:tcPr>
            <w:tcW w:type="dxa" w:w="2880"/>
          </w:tcPr>
          <w:p>
            <w:pPr>
              <w:jc w:val="left"/>
            </w:pPr>
            <w:r>
              <w:rPr/>
              <w:t>Internal</w:t>
            </w:r>
          </w:p>
        </w:tc>
        <w:tc>
          <w:tcPr>
            <w:tcW w:type="dxa" w:w="2880"/>
          </w:tcPr>
          <w:p>
            <w:pPr>
              <w:jc w:val="left"/>
            </w:pPr>
            <w:r>
              <w:rPr/>
              <w:t>Most of this workspace, the Employee Handbook</w:t>
            </w:r>
          </w:p>
        </w:tc>
        <w:tc>
          <w:tcPr>
            <w:tcW w:type="dxa" w:w="2880"/>
          </w:tcPr>
          <w:p>
            <w:pPr>
              <w:jc w:val="left"/>
            </w:pPr>
            <w:r>
              <w:rPr/>
              <w:t>Kestrel staff only</w:t>
            </w:r>
          </w:p>
        </w:tc>
      </w:tr>
      <w:tr>
        <w:tc>
          <w:tcPr>
            <w:tcW w:type="dxa" w:w="2880"/>
          </w:tcPr>
          <w:p>
            <w:pPr>
              <w:jc w:val="left"/>
            </w:pPr>
            <w:r>
              <w:rPr/>
              <w:t>Confidential</w:t>
            </w:r>
          </w:p>
        </w:tc>
        <w:tc>
          <w:tcPr>
            <w:tcW w:type="dxa" w:w="2880"/>
          </w:tcPr>
          <w:p>
            <w:pPr>
              <w:jc w:val="left"/>
            </w:pPr>
            <w:r>
              <w:rPr/>
              <w:t>Customer data, contracts, financial results before release</w:t>
            </w:r>
          </w:p>
        </w:tc>
        <w:tc>
          <w:tcPr>
            <w:tcW w:type="dxa" w:w="2880"/>
          </w:tcPr>
          <w:p>
            <w:pPr>
              <w:jc w:val="left"/>
            </w:pPr>
            <w:r>
              <w:rPr/>
              <w:t>Need to know, never outside Kestrel without a contract</w:t>
            </w:r>
          </w:p>
        </w:tc>
      </w:tr>
      <w:tr>
        <w:tc>
          <w:tcPr>
            <w:tcW w:type="dxa" w:w="2880"/>
          </w:tcPr>
          <w:p>
            <w:pPr>
              <w:jc w:val="left"/>
            </w:pPr>
            <w:r>
              <w:rPr/>
              <w:t>Restricted</w:t>
            </w:r>
          </w:p>
        </w:tc>
        <w:tc>
          <w:tcPr>
            <w:tcW w:type="dxa" w:w="2880"/>
          </w:tcPr>
          <w:p>
            <w:pPr>
              <w:jc w:val="left"/>
            </w:pPr>
            <w:r>
              <w:rPr/>
              <w:t>Fraud rules, deal documents, HR cases, security keys</w:t>
            </w:r>
          </w:p>
        </w:tc>
        <w:tc>
          <w:tcPr>
            <w:tcW w:type="dxa" w:w="2880"/>
          </w:tcPr>
          <w:p>
            <w:pPr>
              <w:jc w:val="left"/>
            </w:pPr>
            <w:r>
              <w:rPr/>
              <w:t>Named people only</w:t>
            </w:r>
          </w:p>
        </w:tc>
      </w:tr>
    </w:tbl>
    <w:p/>
    <w:p>
      <w:r>
        <w:rPr/>
        <w:t>Never paste Confidential or Restricted information into tools that are not approved by IT. Lock your screen when you leave your desk, and use the confidential waste bins for printed documents.</w:t>
      </w:r>
    </w:p>
    <w:p>
      <w:pPr>
        <w:pStyle w:val="Heading2"/>
      </w:pPr>
      <w:r>
        <w:rPr/>
        <w:t>8. Conduct</w:t>
      </w:r>
    </w:p>
    <w:p>
      <w:r>
        <w:rPr/>
        <w:t>Read the Code of Conduct in /Company in your first week and confirm it in Kestrel People. You will confirm it again every year by 31 March. It covers conflicts of interest, gifts and hospitality, financial crime and speaking up.</w:t>
      </w:r>
    </w:p>
    <w:p>
      <w:r>
        <w:rPr/>
        <w:t>If something feels wrong, say so. You can talk to your manager, the People team, Sofia Lindqvist in Compliance, Helen Marsh, our General Counsel, or the independent whistleblowing line. Nobody will be treated badly for raising a concern in good faith.</w:t>
      </w:r>
    </w:p>
    <w:p>
      <w:pPr>
        <w:pStyle w:val="Heading2"/>
      </w:pPr>
      <w:r>
        <w:rPr/>
        <w:t>9. Leaving Kestrel</w:t>
      </w:r>
    </w:p>
    <w:p>
      <w:r>
        <w:rPr/>
        <w:t>Give notice in writing to your manager and the People team. Return your laptop, pass and any expense card on your last day. Untaken annual leave is paid in your final salary; leave taken beyond your entitlement is deducted. We will offer you an exit conversation with the People team.</w:t>
      </w:r>
    </w:p>
    <w:p>
      <w:pPr>
        <w:pStyle w:val="Heading2"/>
      </w:pPr>
      <w:r>
        <w:rPr/>
        <w:t>10. Who to ask</w:t>
      </w:r>
    </w:p>
    <w:tbl>
      <w:tblPr>
        <w:tblStyle w:val="TableGrid"/>
        <w:tblW w:type="auto" w:w="0"/>
        <w:tblLook w:firstColumn="1" w:firstRow="1" w:lastColumn="0" w:lastRow="0" w:noHBand="0" w:noVBand="1" w:val="04A0"/>
      </w:tblPr>
      <w:tblGrid>
        <w:gridCol w:w="4320"/>
        <w:gridCol w:w="4320"/>
      </w:tblGrid>
      <w:tr>
        <w:trPr>
          <w:tblHeader/>
        </w:trPr>
        <w:tc>
          <w:tcPr>
            <w:tcW w:type="dxa" w:w="4320"/>
          </w:tcPr>
          <w:p>
            <w:pPr>
              <w:jc w:val="left"/>
            </w:pPr>
            <w:r>
              <w:rPr>
                <w:b/>
              </w:rPr>
              <w:t>Topic</w:t>
            </w:r>
          </w:p>
        </w:tc>
        <w:tc>
          <w:tcPr>
            <w:tcW w:type="dxa" w:w="4320"/>
          </w:tcPr>
          <w:p>
            <w:pPr>
              <w:jc w:val="left"/>
            </w:pPr>
            <w:r>
              <w:rPr>
                <w:b/>
              </w:rPr>
              <w:t>Contact</w:t>
            </w:r>
          </w:p>
        </w:tc>
      </w:tr>
      <w:tr>
        <w:tc>
          <w:tcPr>
            <w:tcW w:type="dxa" w:w="4320"/>
          </w:tcPr>
          <w:p>
            <w:pPr>
              <w:jc w:val="left"/>
            </w:pPr>
            <w:r>
              <w:rPr/>
              <w:t>Pay, contracts, policies</w:t>
            </w:r>
          </w:p>
        </w:tc>
        <w:tc>
          <w:tcPr>
            <w:tcW w:type="dxa" w:w="4320"/>
          </w:tcPr>
          <w:p>
            <w:pPr>
              <w:jc w:val="left"/>
            </w:pPr>
            <w:r>
              <w:rPr/>
              <w:t>Marco Bianchi, Head of People</w:t>
            </w:r>
          </w:p>
        </w:tc>
      </w:tr>
      <w:tr>
        <w:tc>
          <w:tcPr>
            <w:tcW w:type="dxa" w:w="4320"/>
          </w:tcPr>
          <w:p>
            <w:pPr>
              <w:jc w:val="left"/>
            </w:pPr>
            <w:r>
              <w:rPr/>
              <w:t>Day-to-day HR questions</w:t>
            </w:r>
          </w:p>
        </w:tc>
        <w:tc>
          <w:tcPr>
            <w:tcW w:type="dxa" w:w="4320"/>
          </w:tcPr>
          <w:p>
            <w:pPr>
              <w:jc w:val="left"/>
            </w:pPr>
            <w:r>
              <w:rPr/>
              <w:t>Rachel Obi, HR Business Partner</w:t>
            </w:r>
          </w:p>
        </w:tc>
      </w:tr>
      <w:tr>
        <w:tc>
          <w:tcPr>
            <w:tcW w:type="dxa" w:w="4320"/>
          </w:tcPr>
          <w:p>
            <w:pPr>
              <w:jc w:val="left"/>
            </w:pPr>
            <w:r>
              <w:rPr/>
              <w:t>Hiring and referrals</w:t>
            </w:r>
          </w:p>
        </w:tc>
        <w:tc>
          <w:tcPr>
            <w:tcW w:type="dxa" w:w="4320"/>
          </w:tcPr>
          <w:p>
            <w:pPr>
              <w:jc w:val="left"/>
            </w:pPr>
            <w:r>
              <w:rPr/>
              <w:t>Aisha Rahman, Recruiter</w:t>
            </w:r>
          </w:p>
        </w:tc>
      </w:tr>
      <w:tr>
        <w:tc>
          <w:tcPr>
            <w:tcW w:type="dxa" w:w="4320"/>
          </w:tcPr>
          <w:p>
            <w:pPr>
              <w:jc w:val="left"/>
            </w:pPr>
            <w:r>
              <w:rPr/>
              <w:t>Laptops, accounts, access</w:t>
            </w:r>
          </w:p>
        </w:tc>
        <w:tc>
          <w:tcPr>
            <w:tcW w:type="dxa" w:w="4320"/>
          </w:tcPr>
          <w:p>
            <w:pPr>
              <w:jc w:val="left"/>
            </w:pPr>
            <w:r>
              <w:rPr/>
              <w:t>Tariq Aziz, IT Administrator</w:t>
            </w:r>
          </w:p>
        </w:tc>
      </w:tr>
      <w:tr>
        <w:tc>
          <w:tcPr>
            <w:tcW w:type="dxa" w:w="4320"/>
          </w:tcPr>
          <w:p>
            <w:pPr>
              <w:jc w:val="left"/>
            </w:pPr>
            <w:r>
              <w:rPr/>
              <w:t>Offices, passes, desks</w:t>
            </w:r>
          </w:p>
        </w:tc>
        <w:tc>
          <w:tcPr>
            <w:tcW w:type="dxa" w:w="4320"/>
          </w:tcPr>
          <w:p>
            <w:pPr>
              <w:jc w:val="left"/>
            </w:pPr>
            <w:r>
              <w:rPr/>
              <w:t>Ella Brooks, Office Manager</w:t>
            </w:r>
          </w:p>
        </w:tc>
      </w:tr>
      <w:tr>
        <w:tc>
          <w:tcPr>
            <w:tcW w:type="dxa" w:w="4320"/>
          </w:tcPr>
          <w:p>
            <w:pPr>
              <w:jc w:val="left"/>
            </w:pPr>
            <w:r>
              <w:rPr/>
              <w:t>Expenses</w:t>
            </w:r>
          </w:p>
        </w:tc>
        <w:tc>
          <w:tcPr>
            <w:tcW w:type="dxa" w:w="4320"/>
          </w:tcPr>
          <w:p>
            <w:pPr>
              <w:jc w:val="left"/>
            </w:pPr>
            <w:r>
              <w:rPr/>
              <w:t>Finance AP team, expenses@kestrelpay.example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Handbook</dc:title>
  <dc:subject/>
  <dc:creator>Marco Bianchi</dc:creator>
  <cp:keywords/>
  <dc:description/>
  <cp:lastModifiedBy>Marco Bianchi</cp:lastModifiedBy>
  <cp:revision>1</cp:revision>
  <dcterms:created xsi:type="dcterms:W3CDTF">2025-01-15T10:13:00Z</dcterms:created>
  <dcterms:modified xsi:type="dcterms:W3CDTF">2026-07-02T15:45:00Z</dcterms:modified>
  <cp:category/>
</cp:coreProperties>
</file>