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FY2026 budget: notes and assumptions</w:t>
      </w:r>
    </w:p>
    <w:p>
      <w:r>
        <w:rPr>
          <w:b/>
        </w:rPr>
        <w:t>Prepared by Jonas Berg (FP&amp;A Manager) with Mia Chen and Chris Dunn. Version 3 (final), 11 December 2025. Approved by the board on 10 December 2025.</w:t>
      </w:r>
    </w:p>
    <w:p>
      <w:r>
        <w:rPr/>
        <w:t>These notes explain how the FY2026 budget was built, so that budget holders and the finance team read the numbers the same way. The model itself is in this folder (FY2026 Budget Model v3.xlsx). FY2026 runs from 1 January to 31 December 2026.</w:t>
      </w:r>
    </w:p>
    <w:p>
      <w:r>
        <w:rPr>
          <w:b/>
        </w:rPr>
        <w:t>Update, 21 January 2026.</w:t>
      </w:r>
      <w:r>
        <w:rPr/>
        <w:t xml:space="preserve"> FY2025 unaudited actuals are now in: revenue £138.4m, gross margin 56.2%, EBITDA £3.0m, 45,620 merchant customers and 562 employees at 31 December 2025. The budget is unchanged. Against the actual, budgeted revenue growth is 17.0%.</w:t>
      </w:r>
    </w:p>
    <w:p>
      <w:pPr>
        <w:pStyle w:val="Heading2"/>
      </w:pPr>
      <w:r>
        <w:rPr/>
        <w:t>1. Headlines</w:t>
      </w:r>
    </w:p>
    <w:tbl>
      <w:tblPr>
        <w:tblStyle w:val="TableGrid"/>
        <w:tblW w:type="auto" w:w="0"/>
        <w:tblLook w:firstColumn="1" w:firstRow="1" w:lastColumn="0" w:lastRow="0" w:noHBand="0" w:noVBand="1" w:val="04A0"/>
      </w:tblPr>
      <w:tblGrid>
        <w:gridCol w:w="2160"/>
        <w:gridCol w:w="2160"/>
        <w:gridCol w:w="2160"/>
        <w:gridCol w:w="2160"/>
      </w:tblGrid>
      <w:tr>
        <w:trPr>
          <w:tblHeader/>
        </w:trPr>
        <w:tc>
          <w:tcPr>
            <w:tcW w:type="dxa" w:w="2160"/>
          </w:tcPr>
          <w:p>
            <w:pPr>
              <w:jc w:val="left"/>
            </w:pPr>
            <w:r>
              <w:rPr>
                <w:b/>
              </w:rPr>
              <w:t>Measure</w:t>
            </w:r>
          </w:p>
        </w:tc>
        <w:tc>
          <w:tcPr>
            <w:tcW w:type="dxa" w:w="2160"/>
          </w:tcPr>
          <w:p>
            <w:pPr>
              <w:jc w:val="right"/>
            </w:pPr>
            <w:r>
              <w:rPr>
                <w:b/>
              </w:rPr>
              <w:t>FY2026 budget</w:t>
            </w:r>
          </w:p>
        </w:tc>
        <w:tc>
          <w:tcPr>
            <w:tcW w:type="dxa" w:w="2160"/>
          </w:tcPr>
          <w:p>
            <w:pPr>
              <w:jc w:val="right"/>
            </w:pPr>
            <w:r>
              <w:rPr>
                <w:b/>
              </w:rPr>
              <w:t>FY2025 forecast outturn (November 2025)</w:t>
            </w:r>
          </w:p>
        </w:tc>
        <w:tc>
          <w:tcPr>
            <w:tcW w:type="dxa" w:w="2160"/>
          </w:tcPr>
          <w:p>
            <w:pPr>
              <w:jc w:val="right"/>
            </w:pPr>
            <w:r>
              <w:rPr>
                <w:b/>
              </w:rPr>
              <w:t>Change</w:t>
            </w:r>
          </w:p>
        </w:tc>
      </w:tr>
      <w:tr>
        <w:tc>
          <w:tcPr>
            <w:tcW w:type="dxa" w:w="2160"/>
          </w:tcPr>
          <w:p>
            <w:pPr>
              <w:jc w:val="left"/>
            </w:pPr>
            <w:r>
              <w:rPr/>
              <w:t>Revenue</w:t>
            </w:r>
          </w:p>
        </w:tc>
        <w:tc>
          <w:tcPr>
            <w:tcW w:type="dxa" w:w="2160"/>
          </w:tcPr>
          <w:p>
            <w:pPr>
              <w:jc w:val="right"/>
            </w:pPr>
            <w:r>
              <w:rPr/>
              <w:t>£162.0m</w:t>
            </w:r>
          </w:p>
        </w:tc>
        <w:tc>
          <w:tcPr>
            <w:tcW w:type="dxa" w:w="2160"/>
          </w:tcPr>
          <w:p>
            <w:pPr>
              <w:jc w:val="right"/>
            </w:pPr>
            <w:r>
              <w:rPr/>
              <w:t>£138.2m</w:t>
            </w:r>
          </w:p>
        </w:tc>
        <w:tc>
          <w:tcPr>
            <w:tcW w:type="dxa" w:w="2160"/>
          </w:tcPr>
          <w:p>
            <w:pPr>
              <w:jc w:val="right"/>
            </w:pPr>
            <w:r>
              <w:rPr/>
              <w:t>+17.2%</w:t>
            </w:r>
          </w:p>
        </w:tc>
      </w:tr>
      <w:tr>
        <w:tc>
          <w:tcPr>
            <w:tcW w:type="dxa" w:w="2160"/>
          </w:tcPr>
          <w:p>
            <w:pPr>
              <w:jc w:val="left"/>
            </w:pPr>
            <w:r>
              <w:rPr/>
              <w:t>Gross margin</w:t>
            </w:r>
          </w:p>
        </w:tc>
        <w:tc>
          <w:tcPr>
            <w:tcW w:type="dxa" w:w="2160"/>
          </w:tcPr>
          <w:p>
            <w:pPr>
              <w:jc w:val="right"/>
            </w:pPr>
            <w:r>
              <w:rPr/>
              <w:t>58.2%</w:t>
            </w:r>
          </w:p>
        </w:tc>
        <w:tc>
          <w:tcPr>
            <w:tcW w:type="dxa" w:w="2160"/>
          </w:tcPr>
          <w:p>
            <w:pPr>
              <w:jc w:val="right"/>
            </w:pPr>
            <w:r>
              <w:rPr/>
              <w:t>56.1%</w:t>
            </w:r>
          </w:p>
        </w:tc>
        <w:tc>
          <w:tcPr>
            <w:tcW w:type="dxa" w:w="2160"/>
          </w:tcPr>
          <w:p>
            <w:pPr>
              <w:jc w:val="right"/>
            </w:pPr>
            <w:r>
              <w:rPr/>
              <w:t>+2.1 pts</w:t>
            </w:r>
          </w:p>
        </w:tc>
      </w:tr>
      <w:tr>
        <w:tc>
          <w:tcPr>
            <w:tcW w:type="dxa" w:w="2160"/>
          </w:tcPr>
          <w:p>
            <w:pPr>
              <w:jc w:val="left"/>
            </w:pPr>
            <w:r>
              <w:rPr/>
              <w:t>Operating costs</w:t>
            </w:r>
          </w:p>
        </w:tc>
        <w:tc>
          <w:tcPr>
            <w:tcW w:type="dxa" w:w="2160"/>
          </w:tcPr>
          <w:p>
            <w:pPr>
              <w:jc w:val="right"/>
            </w:pPr>
            <w:r>
              <w:rPr/>
              <w:t>£85.7m</w:t>
            </w:r>
          </w:p>
        </w:tc>
        <w:tc>
          <w:tcPr>
            <w:tcW w:type="dxa" w:w="2160"/>
          </w:tcPr>
          <w:p>
            <w:pPr>
              <w:jc w:val="right"/>
            </w:pPr>
            <w:r>
              <w:rPr/>
              <w:t>£74.9m</w:t>
            </w:r>
          </w:p>
        </w:tc>
        <w:tc>
          <w:tcPr>
            <w:tcW w:type="dxa" w:w="2160"/>
          </w:tcPr>
          <w:p>
            <w:pPr>
              <w:jc w:val="right"/>
            </w:pPr>
            <w:r>
              <w:rPr/>
              <w:t>+14.4%</w:t>
            </w:r>
          </w:p>
        </w:tc>
      </w:tr>
      <w:tr>
        <w:tc>
          <w:tcPr>
            <w:tcW w:type="dxa" w:w="2160"/>
          </w:tcPr>
          <w:p>
            <w:pPr>
              <w:jc w:val="left"/>
            </w:pPr>
            <w:r>
              <w:rPr/>
              <w:t>EBITDA</w:t>
            </w:r>
          </w:p>
        </w:tc>
        <w:tc>
          <w:tcPr>
            <w:tcW w:type="dxa" w:w="2160"/>
          </w:tcPr>
          <w:p>
            <w:pPr>
              <w:jc w:val="right"/>
            </w:pPr>
            <w:r>
              <w:rPr/>
              <w:t>£8.6m</w:t>
            </w:r>
          </w:p>
        </w:tc>
        <w:tc>
          <w:tcPr>
            <w:tcW w:type="dxa" w:w="2160"/>
          </w:tcPr>
          <w:p>
            <w:pPr>
              <w:jc w:val="right"/>
            </w:pPr>
            <w:r>
              <w:rPr/>
              <w:t>£2.6m</w:t>
            </w:r>
          </w:p>
        </w:tc>
        <w:tc>
          <w:tcPr>
            <w:tcW w:type="dxa" w:w="2160"/>
          </w:tcPr>
          <w:p>
            <w:pPr>
              <w:jc w:val="right"/>
            </w:pPr>
            <w:r>
              <w:rPr/>
              <w:t>+£6.0m</w:t>
            </w:r>
          </w:p>
        </w:tc>
      </w:tr>
      <w:tr>
        <w:tc>
          <w:tcPr>
            <w:tcW w:type="dxa" w:w="2160"/>
          </w:tcPr>
          <w:p>
            <w:pPr>
              <w:jc w:val="left"/>
            </w:pPr>
            <w:r>
              <w:rPr/>
              <w:t>Year-end headcount</w:t>
            </w:r>
          </w:p>
        </w:tc>
        <w:tc>
          <w:tcPr>
            <w:tcW w:type="dxa" w:w="2160"/>
          </w:tcPr>
          <w:p>
            <w:pPr>
              <w:jc w:val="right"/>
            </w:pPr>
            <w:r>
              <w:rPr/>
              <w:t>640</w:t>
            </w:r>
          </w:p>
        </w:tc>
        <w:tc>
          <w:tcPr>
            <w:tcW w:type="dxa" w:w="2160"/>
          </w:tcPr>
          <w:p>
            <w:pPr>
              <w:jc w:val="right"/>
            </w:pPr>
            <w:r>
              <w:rPr/>
              <w:t>562</w:t>
            </w:r>
          </w:p>
        </w:tc>
        <w:tc>
          <w:tcPr>
            <w:tcW w:type="dxa" w:w="2160"/>
          </w:tcPr>
          <w:p>
            <w:pPr>
              <w:jc w:val="right"/>
            </w:pPr>
            <w:r>
              <w:rPr/>
              <w:t>+78</w:t>
            </w:r>
          </w:p>
        </w:tc>
      </w:tr>
      <w:tr>
        <w:tc>
          <w:tcPr>
            <w:tcW w:type="dxa" w:w="2160"/>
          </w:tcPr>
          <w:p>
            <w:pPr>
              <w:jc w:val="left"/>
            </w:pPr>
            <w:r>
              <w:rPr/>
              <w:t>Merchant customers at year end</w:t>
            </w:r>
          </w:p>
        </w:tc>
        <w:tc>
          <w:tcPr>
            <w:tcW w:type="dxa" w:w="2160"/>
          </w:tcPr>
          <w:p>
            <w:pPr>
              <w:jc w:val="right"/>
            </w:pPr>
            <w:r>
              <w:rPr/>
              <w:t>53,000</w:t>
            </w:r>
          </w:p>
        </w:tc>
        <w:tc>
          <w:tcPr>
            <w:tcW w:type="dxa" w:w="2160"/>
          </w:tcPr>
          <w:p>
            <w:pPr>
              <w:jc w:val="right"/>
            </w:pPr>
            <w:r>
              <w:rPr/>
              <w:t>45,600</w:t>
            </w:r>
          </w:p>
        </w:tc>
        <w:tc>
          <w:tcPr>
            <w:tcW w:type="dxa" w:w="2160"/>
          </w:tcPr>
          <w:p>
            <w:pPr>
              <w:jc w:val="right"/>
            </w:pPr>
            <w:r>
              <w:rPr/>
              <w:t>+16.2%</w:t>
            </w:r>
          </w:p>
        </w:tc>
      </w:tr>
    </w:tbl>
    <w:p/>
    <w:p>
      <w:pPr>
        <w:pStyle w:val="Heading2"/>
      </w:pPr>
      <w:r>
        <w:rPr/>
        <w:t>2. Revenue</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pPr>
              <w:jc w:val="left"/>
            </w:pPr>
            <w:r>
              <w:rPr>
                <w:b/>
              </w:rPr>
              <w:t>Product</w:t>
            </w:r>
          </w:p>
        </w:tc>
        <w:tc>
          <w:tcPr>
            <w:tcW w:type="dxa" w:w="1728"/>
          </w:tcPr>
          <w:p>
            <w:pPr>
              <w:jc w:val="right"/>
            </w:pPr>
            <w:r>
              <w:rPr>
                <w:b/>
              </w:rPr>
              <w:t>FY2026 budget</w:t>
            </w:r>
          </w:p>
        </w:tc>
        <w:tc>
          <w:tcPr>
            <w:tcW w:type="dxa" w:w="1728"/>
          </w:tcPr>
          <w:p>
            <w:pPr>
              <w:jc w:val="right"/>
            </w:pPr>
            <w:r>
              <w:rPr>
                <w:b/>
              </w:rPr>
              <w:t>FY2025 forecast</w:t>
            </w:r>
          </w:p>
        </w:tc>
        <w:tc>
          <w:tcPr>
            <w:tcW w:type="dxa" w:w="1728"/>
          </w:tcPr>
          <w:p>
            <w:pPr>
              <w:jc w:val="right"/>
            </w:pPr>
            <w:r>
              <w:rPr>
                <w:b/>
              </w:rPr>
              <w:t>Growth</w:t>
            </w:r>
          </w:p>
        </w:tc>
        <w:tc>
          <w:tcPr>
            <w:tcW w:type="dxa" w:w="1728"/>
          </w:tcPr>
          <w:p>
            <w:pPr>
              <w:jc w:val="left"/>
            </w:pPr>
            <w:r>
              <w:rPr>
                <w:b/>
              </w:rPr>
              <w:t>Main driver</w:t>
            </w:r>
          </w:p>
        </w:tc>
      </w:tr>
      <w:tr>
        <w:tc>
          <w:tcPr>
            <w:tcW w:type="dxa" w:w="1728"/>
          </w:tcPr>
          <w:p>
            <w:pPr>
              <w:jc w:val="left"/>
            </w:pPr>
            <w:r>
              <w:rPr/>
              <w:t>Kestrel Checkout</w:t>
            </w:r>
          </w:p>
        </w:tc>
        <w:tc>
          <w:tcPr>
            <w:tcW w:type="dxa" w:w="1728"/>
          </w:tcPr>
          <w:p>
            <w:pPr>
              <w:jc w:val="right"/>
            </w:pPr>
            <w:r>
              <w:rPr/>
              <w:t>£88.6m</w:t>
            </w:r>
          </w:p>
        </w:tc>
        <w:tc>
          <w:tcPr>
            <w:tcW w:type="dxa" w:w="1728"/>
          </w:tcPr>
          <w:p>
            <w:pPr>
              <w:jc w:val="right"/>
            </w:pPr>
            <w:r>
              <w:rPr/>
              <w:t>£77.0m</w:t>
            </w:r>
          </w:p>
        </w:tc>
        <w:tc>
          <w:tcPr>
            <w:tcW w:type="dxa" w:w="1728"/>
          </w:tcPr>
          <w:p>
            <w:pPr>
              <w:jc w:val="right"/>
            </w:pPr>
            <w:r>
              <w:rPr/>
              <w:t>+15.1%</w:t>
            </w:r>
          </w:p>
        </w:tc>
        <w:tc>
          <w:tcPr>
            <w:tcW w:type="dxa" w:w="1728"/>
          </w:tcPr>
          <w:p>
            <w:pPr>
              <w:jc w:val="left"/>
            </w:pPr>
            <w:r>
              <w:rPr/>
              <w:t>Checkout payment volume of £19.3bn at a 0.459% take rate</w:t>
            </w:r>
          </w:p>
        </w:tc>
      </w:tr>
      <w:tr>
        <w:tc>
          <w:tcPr>
            <w:tcW w:type="dxa" w:w="1728"/>
          </w:tcPr>
          <w:p>
            <w:pPr>
              <w:jc w:val="left"/>
            </w:pPr>
            <w:r>
              <w:rPr/>
              <w:t>Kestrel Accounts</w:t>
            </w:r>
          </w:p>
        </w:tc>
        <w:tc>
          <w:tcPr>
            <w:tcW w:type="dxa" w:w="1728"/>
          </w:tcPr>
          <w:p>
            <w:pPr>
              <w:jc w:val="right"/>
            </w:pPr>
            <w:r>
              <w:rPr/>
              <w:t>£40.9m</w:t>
            </w:r>
          </w:p>
        </w:tc>
        <w:tc>
          <w:tcPr>
            <w:tcW w:type="dxa" w:w="1728"/>
          </w:tcPr>
          <w:p>
            <w:pPr>
              <w:jc w:val="right"/>
            </w:pPr>
            <w:r>
              <w:rPr/>
              <w:t>£35.0m</w:t>
            </w:r>
          </w:p>
        </w:tc>
        <w:tc>
          <w:tcPr>
            <w:tcW w:type="dxa" w:w="1728"/>
          </w:tcPr>
          <w:p>
            <w:pPr>
              <w:jc w:val="right"/>
            </w:pPr>
            <w:r>
              <w:rPr/>
              <w:t>+16.9%</w:t>
            </w:r>
          </w:p>
        </w:tc>
        <w:tc>
          <w:tcPr>
            <w:tcW w:type="dxa" w:w="1728"/>
          </w:tcPr>
          <w:p>
            <w:pPr>
              <w:jc w:val="left"/>
            </w:pPr>
            <w:r>
              <w:rPr/>
              <w:t>An average of 31,500 open accounts at £108.20 a month</w:t>
            </w:r>
          </w:p>
        </w:tc>
      </w:tr>
      <w:tr>
        <w:tc>
          <w:tcPr>
            <w:tcW w:type="dxa" w:w="1728"/>
          </w:tcPr>
          <w:p>
            <w:pPr>
              <w:jc w:val="left"/>
            </w:pPr>
            <w:r>
              <w:rPr/>
              <w:t>Kestrel Payouts</w:t>
            </w:r>
          </w:p>
        </w:tc>
        <w:tc>
          <w:tcPr>
            <w:tcW w:type="dxa" w:w="1728"/>
          </w:tcPr>
          <w:p>
            <w:pPr>
              <w:jc w:val="right"/>
            </w:pPr>
            <w:r>
              <w:rPr/>
              <w:t>£32.5m</w:t>
            </w:r>
          </w:p>
        </w:tc>
        <w:tc>
          <w:tcPr>
            <w:tcW w:type="dxa" w:w="1728"/>
          </w:tcPr>
          <w:p>
            <w:pPr>
              <w:jc w:val="right"/>
            </w:pPr>
            <w:r>
              <w:rPr/>
              <w:t>£26.2m</w:t>
            </w:r>
          </w:p>
        </w:tc>
        <w:tc>
          <w:tcPr>
            <w:tcW w:type="dxa" w:w="1728"/>
          </w:tcPr>
          <w:p>
            <w:pPr>
              <w:jc w:val="right"/>
            </w:pPr>
            <w:r>
              <w:rPr/>
              <w:t>+24.0%</w:t>
            </w:r>
          </w:p>
        </w:tc>
        <w:tc>
          <w:tcPr>
            <w:tcW w:type="dxa" w:w="1728"/>
          </w:tcPr>
          <w:p>
            <w:pPr>
              <w:jc w:val="left"/>
            </w:pPr>
            <w:r>
              <w:rPr/>
              <w:t>Payouts volume of £7.6bn at 0.428%, with two payroll bureaus live from May 2026</w:t>
            </w:r>
          </w:p>
        </w:tc>
      </w:tr>
      <w:tr>
        <w:tc>
          <w:tcPr>
            <w:tcW w:type="dxa" w:w="1728"/>
          </w:tcPr>
          <w:p>
            <w:pPr>
              <w:jc w:val="left"/>
            </w:pPr>
            <w:r>
              <w:rPr>
                <w:b/>
              </w:rPr>
              <w:t>Total</w:t>
            </w:r>
          </w:p>
        </w:tc>
        <w:tc>
          <w:tcPr>
            <w:tcW w:type="dxa" w:w="1728"/>
          </w:tcPr>
          <w:p>
            <w:pPr>
              <w:jc w:val="right"/>
            </w:pPr>
            <w:r>
              <w:rPr>
                <w:b/>
              </w:rPr>
              <w:t>£162.0m</w:t>
            </w:r>
          </w:p>
        </w:tc>
        <w:tc>
          <w:tcPr>
            <w:tcW w:type="dxa" w:w="1728"/>
          </w:tcPr>
          <w:p>
            <w:pPr>
              <w:jc w:val="right"/>
            </w:pPr>
            <w:r>
              <w:rPr>
                <w:b/>
              </w:rPr>
              <w:t>£138.2m</w:t>
            </w:r>
          </w:p>
        </w:tc>
        <w:tc>
          <w:tcPr>
            <w:tcW w:type="dxa" w:w="1728"/>
          </w:tcPr>
          <w:p>
            <w:pPr>
              <w:jc w:val="right"/>
            </w:pPr>
            <w:r>
              <w:rPr>
                <w:b/>
              </w:rPr>
              <w:t>+17.2%</w:t>
            </w:r>
          </w:p>
        </w:tc>
        <w:tc>
          <w:tcPr>
            <w:tcW w:type="dxa" w:w="1728"/>
          </w:tcPr>
          <w:p>
            <w:pPr>
              <w:jc w:val="left"/>
            </w:pPr>
          </w:p>
        </w:tc>
      </w:tr>
    </w:tbl>
    <w:p/>
    <w:p>
      <w:r>
        <w:rPr>
          <w:b/>
        </w:rPr>
        <w:t>Quarterly revenue by product, £000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pPr>
              <w:jc w:val="left"/>
            </w:pPr>
            <w:r>
              <w:rPr>
                <w:b/>
              </w:rPr>
              <w:t>Product</w:t>
            </w:r>
          </w:p>
        </w:tc>
        <w:tc>
          <w:tcPr>
            <w:tcW w:type="dxa" w:w="1440"/>
          </w:tcPr>
          <w:p>
            <w:pPr>
              <w:jc w:val="right"/>
            </w:pPr>
            <w:r>
              <w:rPr>
                <w:b/>
              </w:rPr>
              <w:t>Q1</w:t>
            </w:r>
          </w:p>
        </w:tc>
        <w:tc>
          <w:tcPr>
            <w:tcW w:type="dxa" w:w="1440"/>
          </w:tcPr>
          <w:p>
            <w:pPr>
              <w:jc w:val="right"/>
            </w:pPr>
            <w:r>
              <w:rPr>
                <w:b/>
              </w:rPr>
              <w:t>Q2</w:t>
            </w:r>
          </w:p>
        </w:tc>
        <w:tc>
          <w:tcPr>
            <w:tcW w:type="dxa" w:w="1440"/>
          </w:tcPr>
          <w:p>
            <w:pPr>
              <w:jc w:val="right"/>
            </w:pPr>
            <w:r>
              <w:rPr>
                <w:b/>
              </w:rPr>
              <w:t>Q3</w:t>
            </w:r>
          </w:p>
        </w:tc>
        <w:tc>
          <w:tcPr>
            <w:tcW w:type="dxa" w:w="1440"/>
          </w:tcPr>
          <w:p>
            <w:pPr>
              <w:jc w:val="right"/>
            </w:pPr>
            <w:r>
              <w:rPr>
                <w:b/>
              </w:rPr>
              <w:t>Q4</w:t>
            </w:r>
          </w:p>
        </w:tc>
        <w:tc>
          <w:tcPr>
            <w:tcW w:type="dxa" w:w="1440"/>
          </w:tcPr>
          <w:p>
            <w:pPr>
              <w:jc w:val="right"/>
            </w:pPr>
            <w:r>
              <w:rPr>
                <w:b/>
              </w:rPr>
              <w:t>FY2026</w:t>
            </w:r>
          </w:p>
        </w:tc>
      </w:tr>
      <w:tr>
        <w:tc>
          <w:tcPr>
            <w:tcW w:type="dxa" w:w="1440"/>
          </w:tcPr>
          <w:p>
            <w:pPr>
              <w:jc w:val="left"/>
            </w:pPr>
            <w:r>
              <w:rPr/>
              <w:t>Kestrel Checkout</w:t>
            </w:r>
          </w:p>
        </w:tc>
        <w:tc>
          <w:tcPr>
            <w:tcW w:type="dxa" w:w="1440"/>
          </w:tcPr>
          <w:p>
            <w:pPr>
              <w:jc w:val="right"/>
            </w:pPr>
            <w:r>
              <w:rPr/>
              <w:t>21,050</w:t>
            </w:r>
          </w:p>
        </w:tc>
        <w:tc>
          <w:tcPr>
            <w:tcW w:type="dxa" w:w="1440"/>
          </w:tcPr>
          <w:p>
            <w:pPr>
              <w:jc w:val="right"/>
            </w:pPr>
            <w:r>
              <w:rPr/>
              <w:t>21,820</w:t>
            </w:r>
          </w:p>
        </w:tc>
        <w:tc>
          <w:tcPr>
            <w:tcW w:type="dxa" w:w="1440"/>
          </w:tcPr>
          <w:p>
            <w:pPr>
              <w:jc w:val="right"/>
            </w:pPr>
            <w:r>
              <w:rPr/>
              <w:t>22,780</w:t>
            </w:r>
          </w:p>
        </w:tc>
        <w:tc>
          <w:tcPr>
            <w:tcW w:type="dxa" w:w="1440"/>
          </w:tcPr>
          <w:p>
            <w:pPr>
              <w:jc w:val="right"/>
            </w:pPr>
            <w:r>
              <w:rPr/>
              <w:t>22,950</w:t>
            </w:r>
          </w:p>
        </w:tc>
        <w:tc>
          <w:tcPr>
            <w:tcW w:type="dxa" w:w="1440"/>
          </w:tcPr>
          <w:p>
            <w:pPr>
              <w:jc w:val="right"/>
            </w:pPr>
            <w:r>
              <w:rPr/>
              <w:t>88,600</w:t>
            </w:r>
          </w:p>
        </w:tc>
      </w:tr>
      <w:tr>
        <w:tc>
          <w:tcPr>
            <w:tcW w:type="dxa" w:w="1440"/>
          </w:tcPr>
          <w:p>
            <w:pPr>
              <w:jc w:val="left"/>
            </w:pPr>
            <w:r>
              <w:rPr/>
              <w:t>Kestrel Accounts</w:t>
            </w:r>
          </w:p>
        </w:tc>
        <w:tc>
          <w:tcPr>
            <w:tcW w:type="dxa" w:w="1440"/>
          </w:tcPr>
          <w:p>
            <w:pPr>
              <w:jc w:val="right"/>
            </w:pPr>
            <w:r>
              <w:rPr/>
              <w:t>9,620</w:t>
            </w:r>
          </w:p>
        </w:tc>
        <w:tc>
          <w:tcPr>
            <w:tcW w:type="dxa" w:w="1440"/>
          </w:tcPr>
          <w:p>
            <w:pPr>
              <w:jc w:val="right"/>
            </w:pPr>
            <w:r>
              <w:rPr/>
              <w:t>9,880</w:t>
            </w:r>
          </w:p>
        </w:tc>
        <w:tc>
          <w:tcPr>
            <w:tcW w:type="dxa" w:w="1440"/>
          </w:tcPr>
          <w:p>
            <w:pPr>
              <w:jc w:val="right"/>
            </w:pPr>
            <w:r>
              <w:rPr/>
              <w:t>10,310</w:t>
            </w:r>
          </w:p>
        </w:tc>
        <w:tc>
          <w:tcPr>
            <w:tcW w:type="dxa" w:w="1440"/>
          </w:tcPr>
          <w:p>
            <w:pPr>
              <w:jc w:val="right"/>
            </w:pPr>
            <w:r>
              <w:rPr/>
              <w:t>11,090</w:t>
            </w:r>
          </w:p>
        </w:tc>
        <w:tc>
          <w:tcPr>
            <w:tcW w:type="dxa" w:w="1440"/>
          </w:tcPr>
          <w:p>
            <w:pPr>
              <w:jc w:val="right"/>
            </w:pPr>
            <w:r>
              <w:rPr/>
              <w:t>40,900</w:t>
            </w:r>
          </w:p>
        </w:tc>
      </w:tr>
      <w:tr>
        <w:tc>
          <w:tcPr>
            <w:tcW w:type="dxa" w:w="1440"/>
          </w:tcPr>
          <w:p>
            <w:pPr>
              <w:jc w:val="left"/>
            </w:pPr>
            <w:r>
              <w:rPr/>
              <w:t>Kestrel Payouts</w:t>
            </w:r>
          </w:p>
        </w:tc>
        <w:tc>
          <w:tcPr>
            <w:tcW w:type="dxa" w:w="1440"/>
          </w:tcPr>
          <w:p>
            <w:pPr>
              <w:jc w:val="right"/>
            </w:pPr>
            <w:r>
              <w:rPr/>
              <w:t>7,130</w:t>
            </w:r>
          </w:p>
        </w:tc>
        <w:tc>
          <w:tcPr>
            <w:tcW w:type="dxa" w:w="1440"/>
          </w:tcPr>
          <w:p>
            <w:pPr>
              <w:jc w:val="right"/>
            </w:pPr>
            <w:r>
              <w:rPr/>
              <w:t>8,000</w:t>
            </w:r>
          </w:p>
        </w:tc>
        <w:tc>
          <w:tcPr>
            <w:tcW w:type="dxa" w:w="1440"/>
          </w:tcPr>
          <w:p>
            <w:pPr>
              <w:jc w:val="right"/>
            </w:pPr>
            <w:r>
              <w:rPr/>
              <w:t>8,410</w:t>
            </w:r>
          </w:p>
        </w:tc>
        <w:tc>
          <w:tcPr>
            <w:tcW w:type="dxa" w:w="1440"/>
          </w:tcPr>
          <w:p>
            <w:pPr>
              <w:jc w:val="right"/>
            </w:pPr>
            <w:r>
              <w:rPr/>
              <w:t>8,960</w:t>
            </w:r>
          </w:p>
        </w:tc>
        <w:tc>
          <w:tcPr>
            <w:tcW w:type="dxa" w:w="1440"/>
          </w:tcPr>
          <w:p>
            <w:pPr>
              <w:jc w:val="right"/>
            </w:pPr>
            <w:r>
              <w:rPr/>
              <w:t>32,500</w:t>
            </w:r>
          </w:p>
        </w:tc>
      </w:tr>
      <w:tr>
        <w:tc>
          <w:tcPr>
            <w:tcW w:type="dxa" w:w="1440"/>
          </w:tcPr>
          <w:p>
            <w:pPr>
              <w:jc w:val="left"/>
            </w:pPr>
            <w:r>
              <w:rPr>
                <w:b/>
              </w:rPr>
              <w:t>Total</w:t>
            </w:r>
          </w:p>
        </w:tc>
        <w:tc>
          <w:tcPr>
            <w:tcW w:type="dxa" w:w="1440"/>
          </w:tcPr>
          <w:p>
            <w:pPr>
              <w:jc w:val="right"/>
            </w:pPr>
            <w:r>
              <w:rPr>
                <w:b/>
              </w:rPr>
              <w:t>37,800</w:t>
            </w:r>
          </w:p>
        </w:tc>
        <w:tc>
          <w:tcPr>
            <w:tcW w:type="dxa" w:w="1440"/>
          </w:tcPr>
          <w:p>
            <w:pPr>
              <w:jc w:val="right"/>
            </w:pPr>
            <w:r>
              <w:rPr>
                <w:b/>
              </w:rPr>
              <w:t>39,700</w:t>
            </w:r>
          </w:p>
        </w:tc>
        <w:tc>
          <w:tcPr>
            <w:tcW w:type="dxa" w:w="1440"/>
          </w:tcPr>
          <w:p>
            <w:pPr>
              <w:jc w:val="right"/>
            </w:pPr>
            <w:r>
              <w:rPr>
                <w:b/>
              </w:rPr>
              <w:t>41,500</w:t>
            </w:r>
          </w:p>
        </w:tc>
        <w:tc>
          <w:tcPr>
            <w:tcW w:type="dxa" w:w="1440"/>
          </w:tcPr>
          <w:p>
            <w:pPr>
              <w:jc w:val="right"/>
            </w:pPr>
            <w:r>
              <w:rPr>
                <w:b/>
              </w:rPr>
              <w:t>43,000</w:t>
            </w:r>
          </w:p>
        </w:tc>
        <w:tc>
          <w:tcPr>
            <w:tcW w:type="dxa" w:w="1440"/>
          </w:tcPr>
          <w:p>
            <w:pPr>
              <w:jc w:val="right"/>
            </w:pPr>
            <w:r>
              <w:rPr>
                <w:b/>
              </w:rPr>
              <w:t>162,000</w:t>
            </w:r>
          </w:p>
        </w:tc>
      </w:tr>
    </w:tbl>
    <w:p/>
    <w:p>
      <w:r>
        <w:rPr/>
        <w:t>Q3 is phased by month at £13.7m (July), £13.65m (August) and £14.15m (September), because August card volume is always lower.</w:t>
      </w:r>
    </w:p>
    <w:p>
      <w:r>
        <w:br w:type="page"/>
      </w:r>
    </w:p>
    <w:p>
      <w:pPr>
        <w:pStyle w:val="Heading2"/>
      </w:pPr>
      <w:r>
        <w:rPr/>
        <w:t>3. Gross margin</w:t>
      </w:r>
    </w:p>
    <w:p>
      <w:r>
        <w:rPr>
          <w:b/>
        </w:rPr>
        <w:t>Quarterly profit, £000</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pPr>
              <w:jc w:val="left"/>
            </w:pPr>
            <w:r>
              <w:rPr>
                <w:b/>
              </w:rPr>
              <w:t>Line</w:t>
            </w:r>
          </w:p>
        </w:tc>
        <w:tc>
          <w:tcPr>
            <w:tcW w:type="dxa" w:w="1440"/>
          </w:tcPr>
          <w:p>
            <w:pPr>
              <w:jc w:val="right"/>
            </w:pPr>
            <w:r>
              <w:rPr>
                <w:b/>
              </w:rPr>
              <w:t>Q1</w:t>
            </w:r>
          </w:p>
        </w:tc>
        <w:tc>
          <w:tcPr>
            <w:tcW w:type="dxa" w:w="1440"/>
          </w:tcPr>
          <w:p>
            <w:pPr>
              <w:jc w:val="right"/>
            </w:pPr>
            <w:r>
              <w:rPr>
                <w:b/>
              </w:rPr>
              <w:t>Q2</w:t>
            </w:r>
          </w:p>
        </w:tc>
        <w:tc>
          <w:tcPr>
            <w:tcW w:type="dxa" w:w="1440"/>
          </w:tcPr>
          <w:p>
            <w:pPr>
              <w:jc w:val="right"/>
            </w:pPr>
            <w:r>
              <w:rPr>
                <w:b/>
              </w:rPr>
              <w:t>Q3</w:t>
            </w:r>
          </w:p>
        </w:tc>
        <w:tc>
          <w:tcPr>
            <w:tcW w:type="dxa" w:w="1440"/>
          </w:tcPr>
          <w:p>
            <w:pPr>
              <w:jc w:val="right"/>
            </w:pPr>
            <w:r>
              <w:rPr>
                <w:b/>
              </w:rPr>
              <w:t>Q4</w:t>
            </w:r>
          </w:p>
        </w:tc>
        <w:tc>
          <w:tcPr>
            <w:tcW w:type="dxa" w:w="1440"/>
          </w:tcPr>
          <w:p>
            <w:pPr>
              <w:jc w:val="right"/>
            </w:pPr>
            <w:r>
              <w:rPr>
                <w:b/>
              </w:rPr>
              <w:t>FY2026</w:t>
            </w:r>
          </w:p>
        </w:tc>
      </w:tr>
      <w:tr>
        <w:tc>
          <w:tcPr>
            <w:tcW w:type="dxa" w:w="1440"/>
          </w:tcPr>
          <w:p>
            <w:pPr>
              <w:jc w:val="left"/>
            </w:pPr>
            <w:r>
              <w:rPr/>
              <w:t>Revenue</w:t>
            </w:r>
          </w:p>
        </w:tc>
        <w:tc>
          <w:tcPr>
            <w:tcW w:type="dxa" w:w="1440"/>
          </w:tcPr>
          <w:p>
            <w:pPr>
              <w:jc w:val="right"/>
            </w:pPr>
            <w:r>
              <w:rPr/>
              <w:t>37,800</w:t>
            </w:r>
          </w:p>
        </w:tc>
        <w:tc>
          <w:tcPr>
            <w:tcW w:type="dxa" w:w="1440"/>
          </w:tcPr>
          <w:p>
            <w:pPr>
              <w:jc w:val="right"/>
            </w:pPr>
            <w:r>
              <w:rPr/>
              <w:t>39,700</w:t>
            </w:r>
          </w:p>
        </w:tc>
        <w:tc>
          <w:tcPr>
            <w:tcW w:type="dxa" w:w="1440"/>
          </w:tcPr>
          <w:p>
            <w:pPr>
              <w:jc w:val="right"/>
            </w:pPr>
            <w:r>
              <w:rPr/>
              <w:t>41,500</w:t>
            </w:r>
          </w:p>
        </w:tc>
        <w:tc>
          <w:tcPr>
            <w:tcW w:type="dxa" w:w="1440"/>
          </w:tcPr>
          <w:p>
            <w:pPr>
              <w:jc w:val="right"/>
            </w:pPr>
            <w:r>
              <w:rPr/>
              <w:t>43,000</w:t>
            </w:r>
          </w:p>
        </w:tc>
        <w:tc>
          <w:tcPr>
            <w:tcW w:type="dxa" w:w="1440"/>
          </w:tcPr>
          <w:p>
            <w:pPr>
              <w:jc w:val="right"/>
            </w:pPr>
            <w:r>
              <w:rPr/>
              <w:t>162,000</w:t>
            </w:r>
          </w:p>
        </w:tc>
      </w:tr>
      <w:tr>
        <w:tc>
          <w:tcPr>
            <w:tcW w:type="dxa" w:w="1440"/>
          </w:tcPr>
          <w:p>
            <w:pPr>
              <w:jc w:val="left"/>
            </w:pPr>
            <w:r>
              <w:rPr/>
              <w:t>Gross profit</w:t>
            </w:r>
          </w:p>
        </w:tc>
        <w:tc>
          <w:tcPr>
            <w:tcW w:type="dxa" w:w="1440"/>
          </w:tcPr>
          <w:p>
            <w:pPr>
              <w:jc w:val="right"/>
            </w:pPr>
            <w:r>
              <w:rPr/>
              <w:t>21,735</w:t>
            </w:r>
          </w:p>
        </w:tc>
        <w:tc>
          <w:tcPr>
            <w:tcW w:type="dxa" w:w="1440"/>
          </w:tcPr>
          <w:p>
            <w:pPr>
              <w:jc w:val="right"/>
            </w:pPr>
            <w:r>
              <w:rPr/>
              <w:t>22,950</w:t>
            </w:r>
          </w:p>
        </w:tc>
        <w:tc>
          <w:tcPr>
            <w:tcW w:type="dxa" w:w="1440"/>
          </w:tcPr>
          <w:p>
            <w:pPr>
              <w:jc w:val="right"/>
            </w:pPr>
            <w:r>
              <w:rPr/>
              <w:t>24,280</w:t>
            </w:r>
          </w:p>
        </w:tc>
        <w:tc>
          <w:tcPr>
            <w:tcW w:type="dxa" w:w="1440"/>
          </w:tcPr>
          <w:p>
            <w:pPr>
              <w:jc w:val="right"/>
            </w:pPr>
            <w:r>
              <w:rPr/>
              <w:t>25,319</w:t>
            </w:r>
          </w:p>
        </w:tc>
        <w:tc>
          <w:tcPr>
            <w:tcW w:type="dxa" w:w="1440"/>
          </w:tcPr>
          <w:p>
            <w:pPr>
              <w:jc w:val="right"/>
            </w:pPr>
            <w:r>
              <w:rPr/>
              <w:t>94,284</w:t>
            </w:r>
          </w:p>
        </w:tc>
      </w:tr>
      <w:tr>
        <w:tc>
          <w:tcPr>
            <w:tcW w:type="dxa" w:w="1440"/>
          </w:tcPr>
          <w:p>
            <w:pPr>
              <w:jc w:val="left"/>
            </w:pPr>
            <w:r>
              <w:rPr/>
              <w:t>Gross margin</w:t>
            </w:r>
          </w:p>
        </w:tc>
        <w:tc>
          <w:tcPr>
            <w:tcW w:type="dxa" w:w="1440"/>
          </w:tcPr>
          <w:p>
            <w:pPr>
              <w:jc w:val="right"/>
            </w:pPr>
            <w:r>
              <w:rPr/>
              <w:t>57.5%</w:t>
            </w:r>
          </w:p>
        </w:tc>
        <w:tc>
          <w:tcPr>
            <w:tcW w:type="dxa" w:w="1440"/>
          </w:tcPr>
          <w:p>
            <w:pPr>
              <w:jc w:val="right"/>
            </w:pPr>
            <w:r>
              <w:rPr/>
              <w:t>57.8%</w:t>
            </w:r>
          </w:p>
        </w:tc>
        <w:tc>
          <w:tcPr>
            <w:tcW w:type="dxa" w:w="1440"/>
          </w:tcPr>
          <w:p>
            <w:pPr>
              <w:jc w:val="right"/>
            </w:pPr>
            <w:r>
              <w:rPr/>
              <w:t>58.5%</w:t>
            </w:r>
          </w:p>
        </w:tc>
        <w:tc>
          <w:tcPr>
            <w:tcW w:type="dxa" w:w="1440"/>
          </w:tcPr>
          <w:p>
            <w:pPr>
              <w:jc w:val="right"/>
            </w:pPr>
            <w:r>
              <w:rPr/>
              <w:t>58.9%</w:t>
            </w:r>
          </w:p>
        </w:tc>
        <w:tc>
          <w:tcPr>
            <w:tcW w:type="dxa" w:w="1440"/>
          </w:tcPr>
          <w:p>
            <w:pPr>
              <w:jc w:val="right"/>
            </w:pPr>
            <w:r>
              <w:rPr/>
              <w:t>58.2%</w:t>
            </w:r>
          </w:p>
        </w:tc>
      </w:tr>
      <w:tr>
        <w:tc>
          <w:tcPr>
            <w:tcW w:type="dxa" w:w="1440"/>
          </w:tcPr>
          <w:p>
            <w:pPr>
              <w:jc w:val="left"/>
            </w:pPr>
            <w:r>
              <w:rPr/>
              <w:t>Operating costs</w:t>
            </w:r>
          </w:p>
        </w:tc>
        <w:tc>
          <w:tcPr>
            <w:tcW w:type="dxa" w:w="1440"/>
          </w:tcPr>
          <w:p>
            <w:pPr>
              <w:jc w:val="right"/>
            </w:pPr>
            <w:r>
              <w:rPr/>
              <w:t>(20,045)</w:t>
            </w:r>
          </w:p>
        </w:tc>
        <w:tc>
          <w:tcPr>
            <w:tcW w:type="dxa" w:w="1440"/>
          </w:tcPr>
          <w:p>
            <w:pPr>
              <w:jc w:val="right"/>
            </w:pPr>
            <w:r>
              <w:rPr/>
              <w:t>(20,900)</w:t>
            </w:r>
          </w:p>
        </w:tc>
        <w:tc>
          <w:tcPr>
            <w:tcW w:type="dxa" w:w="1440"/>
          </w:tcPr>
          <w:p>
            <w:pPr>
              <w:jc w:val="right"/>
            </w:pPr>
            <w:r>
              <w:rPr/>
              <w:t>(21,900)</w:t>
            </w:r>
          </w:p>
        </w:tc>
        <w:tc>
          <w:tcPr>
            <w:tcW w:type="dxa" w:w="1440"/>
          </w:tcPr>
          <w:p>
            <w:pPr>
              <w:jc w:val="right"/>
            </w:pPr>
            <w:r>
              <w:rPr/>
              <w:t>(22,839)</w:t>
            </w:r>
          </w:p>
        </w:tc>
        <w:tc>
          <w:tcPr>
            <w:tcW w:type="dxa" w:w="1440"/>
          </w:tcPr>
          <w:p>
            <w:pPr>
              <w:jc w:val="right"/>
            </w:pPr>
            <w:r>
              <w:rPr/>
              <w:t>(85,684)</w:t>
            </w:r>
          </w:p>
        </w:tc>
      </w:tr>
      <w:tr>
        <w:tc>
          <w:tcPr>
            <w:tcW w:type="dxa" w:w="1440"/>
          </w:tcPr>
          <w:p>
            <w:pPr>
              <w:jc w:val="left"/>
            </w:pPr>
            <w:r>
              <w:rPr/>
              <w:t>EBITDA</w:t>
            </w:r>
          </w:p>
        </w:tc>
        <w:tc>
          <w:tcPr>
            <w:tcW w:type="dxa" w:w="1440"/>
          </w:tcPr>
          <w:p>
            <w:pPr>
              <w:jc w:val="right"/>
            </w:pPr>
            <w:r>
              <w:rPr/>
              <w:t>1,690</w:t>
            </w:r>
          </w:p>
        </w:tc>
        <w:tc>
          <w:tcPr>
            <w:tcW w:type="dxa" w:w="1440"/>
          </w:tcPr>
          <w:p>
            <w:pPr>
              <w:jc w:val="right"/>
            </w:pPr>
            <w:r>
              <w:rPr/>
              <w:t>2,050</w:t>
            </w:r>
          </w:p>
        </w:tc>
        <w:tc>
          <w:tcPr>
            <w:tcW w:type="dxa" w:w="1440"/>
          </w:tcPr>
          <w:p>
            <w:pPr>
              <w:jc w:val="right"/>
            </w:pPr>
            <w:r>
              <w:rPr/>
              <w:t>2,380</w:t>
            </w:r>
          </w:p>
        </w:tc>
        <w:tc>
          <w:tcPr>
            <w:tcW w:type="dxa" w:w="1440"/>
          </w:tcPr>
          <w:p>
            <w:pPr>
              <w:jc w:val="right"/>
            </w:pPr>
            <w:r>
              <w:rPr/>
              <w:t>2,480</w:t>
            </w:r>
          </w:p>
        </w:tc>
        <w:tc>
          <w:tcPr>
            <w:tcW w:type="dxa" w:w="1440"/>
          </w:tcPr>
          <w:p>
            <w:pPr>
              <w:jc w:val="right"/>
            </w:pPr>
            <w:r>
              <w:rPr/>
              <w:t>8,600</w:t>
            </w:r>
          </w:p>
        </w:tc>
      </w:tr>
    </w:tbl>
    <w:p/>
    <w:p>
      <w:r>
        <w:rPr/>
        <w:t>The margin rises through the year for three reasons:</w:t>
      </w:r>
    </w:p>
    <w:p>
      <w:pPr>
        <w:pStyle w:val="ListBullet"/>
      </w:pPr>
      <w:r>
        <w:rPr>
          <w:b/>
        </w:rPr>
        <w:t>Hosting.</w:t>
      </w:r>
      <w:r>
        <w:rPr/>
        <w:t xml:space="preserve"> We assume a new hosting contract from 1 April 2026, under which we buy our AWS capacity through a reseller that also runs the production environment day to day. Ashgrove Cloud Services is the preferred bidder at £61,400 a month for 36 months, covering committed AWS capacity and 24/7 operations (£0.74m a year), plus about £0.2m a year of usage above the commitment. This is £0.6m a year cheaper than buying AWS directly and renewing the current managed service contract.</w:t>
      </w:r>
    </w:p>
    <w:p>
      <w:pPr>
        <w:pStyle w:val="ListBullet"/>
      </w:pPr>
      <w:r>
        <w:rPr>
          <w:b/>
        </w:rPr>
        <w:t>Fraud.</w:t>
      </w:r>
      <w:r>
        <w:rPr/>
        <w:t xml:space="preserve"> Fraud losses and chargebacks are budgeted at 3.1% of revenue, against 3.5% in FY2025, on the strength of the new Kestrel Shield scoring model planned for Q1.</w:t>
      </w:r>
    </w:p>
    <w:p>
      <w:pPr>
        <w:pStyle w:val="ListBullet"/>
      </w:pPr>
      <w:r>
        <w:rPr>
          <w:b/>
        </w:rPr>
        <w:t>Mix.</w:t>
      </w:r>
      <w:r>
        <w:rPr/>
        <w:t xml:space="preserve"> Payouts and Accounts carry better margins than Checkout, and both grow faster.</w:t>
      </w:r>
    </w:p>
    <w:p>
      <w:r>
        <w:rPr/>
        <w:t>Interchange and scheme fees pass straight through and are budgeted at 50.4% of Checkout revenue, including the scheme fee increases of about 3% from April.</w:t>
      </w:r>
    </w:p>
    <w:p>
      <w:pPr>
        <w:pStyle w:val="Heading2"/>
      </w:pPr>
      <w:r>
        <w:rPr/>
        <w:t>4. Operating costs</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pPr>
              <w:jc w:val="left"/>
            </w:pPr>
            <w:r>
              <w:rPr>
                <w:b/>
              </w:rPr>
              <w:t>Category</w:t>
            </w:r>
          </w:p>
        </w:tc>
        <w:tc>
          <w:tcPr>
            <w:tcW w:type="dxa" w:w="1728"/>
          </w:tcPr>
          <w:p>
            <w:pPr>
              <w:jc w:val="right"/>
            </w:pPr>
            <w:r>
              <w:rPr>
                <w:b/>
              </w:rPr>
              <w:t>FY2026 budget</w:t>
            </w:r>
          </w:p>
        </w:tc>
        <w:tc>
          <w:tcPr>
            <w:tcW w:type="dxa" w:w="1728"/>
          </w:tcPr>
          <w:p>
            <w:pPr>
              <w:jc w:val="right"/>
            </w:pPr>
            <w:r>
              <w:rPr>
                <w:b/>
              </w:rPr>
              <w:t>FY2025 forecast</w:t>
            </w:r>
          </w:p>
        </w:tc>
        <w:tc>
          <w:tcPr>
            <w:tcW w:type="dxa" w:w="1728"/>
          </w:tcPr>
          <w:p>
            <w:pPr>
              <w:jc w:val="right"/>
            </w:pPr>
            <w:r>
              <w:rPr>
                <w:b/>
              </w:rPr>
              <w:t>Change</w:t>
            </w:r>
          </w:p>
        </w:tc>
        <w:tc>
          <w:tcPr>
            <w:tcW w:type="dxa" w:w="1728"/>
          </w:tcPr>
          <w:p>
            <w:pPr>
              <w:jc w:val="left"/>
            </w:pPr>
            <w:r>
              <w:rPr>
                <w:b/>
              </w:rPr>
              <w:t>Notes</w:t>
            </w:r>
          </w:p>
        </w:tc>
      </w:tr>
      <w:tr>
        <w:tc>
          <w:tcPr>
            <w:tcW w:type="dxa" w:w="1728"/>
          </w:tcPr>
          <w:p>
            <w:pPr>
              <w:jc w:val="left"/>
            </w:pPr>
            <w:r>
              <w:rPr/>
              <w:t>Staff costs</w:t>
            </w:r>
          </w:p>
        </w:tc>
        <w:tc>
          <w:tcPr>
            <w:tcW w:type="dxa" w:w="1728"/>
          </w:tcPr>
          <w:p>
            <w:pPr>
              <w:jc w:val="right"/>
            </w:pPr>
            <w:r>
              <w:rPr/>
              <w:t>£55.6m</w:t>
            </w:r>
          </w:p>
        </w:tc>
        <w:tc>
          <w:tcPr>
            <w:tcW w:type="dxa" w:w="1728"/>
          </w:tcPr>
          <w:p>
            <w:pPr>
              <w:jc w:val="right"/>
            </w:pPr>
            <w:r>
              <w:rPr/>
              <w:t>£48.3m</w:t>
            </w:r>
          </w:p>
        </w:tc>
        <w:tc>
          <w:tcPr>
            <w:tcW w:type="dxa" w:w="1728"/>
          </w:tcPr>
          <w:p>
            <w:pPr>
              <w:jc w:val="right"/>
            </w:pPr>
            <w:r>
              <w:rPr/>
              <w:t>+15.1%</w:t>
            </w:r>
          </w:p>
        </w:tc>
        <w:tc>
          <w:tcPr>
            <w:tcW w:type="dxa" w:w="1728"/>
          </w:tcPr>
          <w:p>
            <w:pPr>
              <w:jc w:val="left"/>
            </w:pPr>
            <w:r>
              <w:rPr/>
              <w:t>640 employees by year end; 4.5% pay rise from 1 April 2026</w:t>
            </w:r>
          </w:p>
        </w:tc>
      </w:tr>
      <w:tr>
        <w:tc>
          <w:tcPr>
            <w:tcW w:type="dxa" w:w="1728"/>
          </w:tcPr>
          <w:p>
            <w:pPr>
              <w:jc w:val="left"/>
            </w:pPr>
            <w:r>
              <w:rPr/>
              <w:t>Technology and software</w:t>
            </w:r>
          </w:p>
        </w:tc>
        <w:tc>
          <w:tcPr>
            <w:tcW w:type="dxa" w:w="1728"/>
          </w:tcPr>
          <w:p>
            <w:pPr>
              <w:jc w:val="right"/>
            </w:pPr>
            <w:r>
              <w:rPr/>
              <w:t>£7.3m</w:t>
            </w:r>
          </w:p>
        </w:tc>
        <w:tc>
          <w:tcPr>
            <w:tcW w:type="dxa" w:w="1728"/>
          </w:tcPr>
          <w:p>
            <w:pPr>
              <w:jc w:val="right"/>
            </w:pPr>
            <w:r>
              <w:rPr/>
              <w:t>£6.4m</w:t>
            </w:r>
          </w:p>
        </w:tc>
        <w:tc>
          <w:tcPr>
            <w:tcW w:type="dxa" w:w="1728"/>
          </w:tcPr>
          <w:p>
            <w:pPr>
              <w:jc w:val="right"/>
            </w:pPr>
            <w:r>
              <w:rPr/>
              <w:t>+14.1%</w:t>
            </w:r>
          </w:p>
        </w:tc>
        <w:tc>
          <w:tcPr>
            <w:tcW w:type="dxa" w:w="1728"/>
          </w:tcPr>
          <w:p>
            <w:pPr>
              <w:jc w:val="left"/>
            </w:pPr>
            <w:r>
              <w:rPr/>
              <w:t>Includes the HR system and support platform renewals</w:t>
            </w:r>
          </w:p>
        </w:tc>
      </w:tr>
      <w:tr>
        <w:tc>
          <w:tcPr>
            <w:tcW w:type="dxa" w:w="1728"/>
          </w:tcPr>
          <w:p>
            <w:pPr>
              <w:jc w:val="left"/>
            </w:pPr>
            <w:r>
              <w:rPr/>
              <w:t>Sales and marketing</w:t>
            </w:r>
          </w:p>
        </w:tc>
        <w:tc>
          <w:tcPr>
            <w:tcW w:type="dxa" w:w="1728"/>
          </w:tcPr>
          <w:p>
            <w:pPr>
              <w:jc w:val="right"/>
            </w:pPr>
            <w:r>
              <w:rPr/>
              <w:t>£9.4m</w:t>
            </w:r>
          </w:p>
        </w:tc>
        <w:tc>
          <w:tcPr>
            <w:tcW w:type="dxa" w:w="1728"/>
          </w:tcPr>
          <w:p>
            <w:pPr>
              <w:jc w:val="right"/>
            </w:pPr>
            <w:r>
              <w:rPr/>
              <w:t>£8.2m</w:t>
            </w:r>
          </w:p>
        </w:tc>
        <w:tc>
          <w:tcPr>
            <w:tcW w:type="dxa" w:w="1728"/>
          </w:tcPr>
          <w:p>
            <w:pPr>
              <w:jc w:val="right"/>
            </w:pPr>
            <w:r>
              <w:rPr/>
              <w:t>+14.6%</w:t>
            </w:r>
          </w:p>
        </w:tc>
        <w:tc>
          <w:tcPr>
            <w:tcW w:type="dxa" w:w="1728"/>
          </w:tcPr>
          <w:p>
            <w:pPr>
              <w:jc w:val="left"/>
            </w:pPr>
            <w:r>
              <w:rPr/>
              <w:t>Ireland and Portugal campaigns in H2</w:t>
            </w:r>
          </w:p>
        </w:tc>
      </w:tr>
      <w:tr>
        <w:tc>
          <w:tcPr>
            <w:tcW w:type="dxa" w:w="1728"/>
          </w:tcPr>
          <w:p>
            <w:pPr>
              <w:jc w:val="left"/>
            </w:pPr>
            <w:r>
              <w:rPr/>
              <w:t>Premises and office</w:t>
            </w:r>
          </w:p>
        </w:tc>
        <w:tc>
          <w:tcPr>
            <w:tcW w:type="dxa" w:w="1728"/>
          </w:tcPr>
          <w:p>
            <w:pPr>
              <w:jc w:val="right"/>
            </w:pPr>
            <w:r>
              <w:rPr/>
              <w:t>£4.6m</w:t>
            </w:r>
          </w:p>
        </w:tc>
        <w:tc>
          <w:tcPr>
            <w:tcW w:type="dxa" w:w="1728"/>
          </w:tcPr>
          <w:p>
            <w:pPr>
              <w:jc w:val="right"/>
            </w:pPr>
            <w:r>
              <w:rPr/>
              <w:t>£4.2m</w:t>
            </w:r>
          </w:p>
        </w:tc>
        <w:tc>
          <w:tcPr>
            <w:tcW w:type="dxa" w:w="1728"/>
          </w:tcPr>
          <w:p>
            <w:pPr>
              <w:jc w:val="right"/>
            </w:pPr>
            <w:r>
              <w:rPr/>
              <w:t>+9.5%</w:t>
            </w:r>
          </w:p>
        </w:tc>
        <w:tc>
          <w:tcPr>
            <w:tcW w:type="dxa" w:w="1728"/>
          </w:tcPr>
          <w:p>
            <w:pPr>
              <w:jc w:val="left"/>
            </w:pPr>
            <w:r>
              <w:rPr/>
              <w:t>London and Lisbon leases; no new Dublin office assumed</w:t>
            </w:r>
          </w:p>
        </w:tc>
      </w:tr>
      <w:tr>
        <w:tc>
          <w:tcPr>
            <w:tcW w:type="dxa" w:w="1728"/>
          </w:tcPr>
          <w:p>
            <w:pPr>
              <w:jc w:val="left"/>
            </w:pPr>
            <w:r>
              <w:rPr/>
              <w:t>Professional fees</w:t>
            </w:r>
          </w:p>
        </w:tc>
        <w:tc>
          <w:tcPr>
            <w:tcW w:type="dxa" w:w="1728"/>
          </w:tcPr>
          <w:p>
            <w:pPr>
              <w:jc w:val="right"/>
            </w:pPr>
            <w:r>
              <w:rPr/>
              <w:t>£3.8m</w:t>
            </w:r>
          </w:p>
        </w:tc>
        <w:tc>
          <w:tcPr>
            <w:tcW w:type="dxa" w:w="1728"/>
          </w:tcPr>
          <w:p>
            <w:pPr>
              <w:jc w:val="right"/>
            </w:pPr>
            <w:r>
              <w:rPr/>
              <w:t>£3.6m</w:t>
            </w:r>
          </w:p>
        </w:tc>
        <w:tc>
          <w:tcPr>
            <w:tcW w:type="dxa" w:w="1728"/>
          </w:tcPr>
          <w:p>
            <w:pPr>
              <w:jc w:val="right"/>
            </w:pPr>
            <w:r>
              <w:rPr/>
              <w:t>+5.6%</w:t>
            </w:r>
          </w:p>
        </w:tc>
        <w:tc>
          <w:tcPr>
            <w:tcW w:type="dxa" w:w="1728"/>
          </w:tcPr>
          <w:p>
            <w:pPr>
              <w:jc w:val="left"/>
            </w:pPr>
            <w:r>
              <w:rPr/>
              <w:t>Statutory audit, legal panel, tax advice, and the annual safeguarding audit (the 2025 audit in Q1, interim work for 2026 in Q4)</w:t>
            </w:r>
          </w:p>
        </w:tc>
      </w:tr>
      <w:tr>
        <w:tc>
          <w:tcPr>
            <w:tcW w:type="dxa" w:w="1728"/>
          </w:tcPr>
          <w:p>
            <w:pPr>
              <w:jc w:val="left"/>
            </w:pPr>
            <w:r>
              <w:rPr/>
              <w:t>Regulatory and compliance</w:t>
            </w:r>
          </w:p>
        </w:tc>
        <w:tc>
          <w:tcPr>
            <w:tcW w:type="dxa" w:w="1728"/>
          </w:tcPr>
          <w:p>
            <w:pPr>
              <w:jc w:val="right"/>
            </w:pPr>
            <w:r>
              <w:rPr/>
              <w:t>£2.6m</w:t>
            </w:r>
          </w:p>
        </w:tc>
        <w:tc>
          <w:tcPr>
            <w:tcW w:type="dxa" w:w="1728"/>
          </w:tcPr>
          <w:p>
            <w:pPr>
              <w:jc w:val="right"/>
            </w:pPr>
            <w:r>
              <w:rPr/>
              <w:t>£2.2m</w:t>
            </w:r>
          </w:p>
        </w:tc>
        <w:tc>
          <w:tcPr>
            <w:tcW w:type="dxa" w:w="1728"/>
          </w:tcPr>
          <w:p>
            <w:pPr>
              <w:jc w:val="right"/>
            </w:pPr>
            <w:r>
              <w:rPr/>
              <w:t>+18.2%</w:t>
            </w:r>
          </w:p>
        </w:tc>
        <w:tc>
          <w:tcPr>
            <w:tcW w:type="dxa" w:w="1728"/>
          </w:tcPr>
          <w:p>
            <w:pPr>
              <w:jc w:val="left"/>
            </w:pPr>
            <w:r>
              <w:rPr/>
              <w:t>FCA and Central Bank of Ireland fees; screening data and compliance tools</w:t>
            </w:r>
          </w:p>
        </w:tc>
      </w:tr>
      <w:tr>
        <w:tc>
          <w:tcPr>
            <w:tcW w:type="dxa" w:w="1728"/>
          </w:tcPr>
          <w:p>
            <w:pPr>
              <w:jc w:val="left"/>
            </w:pPr>
            <w:r>
              <w:rPr/>
              <w:t>Other operating costs</w:t>
            </w:r>
          </w:p>
        </w:tc>
        <w:tc>
          <w:tcPr>
            <w:tcW w:type="dxa" w:w="1728"/>
          </w:tcPr>
          <w:p>
            <w:pPr>
              <w:jc w:val="right"/>
            </w:pPr>
            <w:r>
              <w:rPr/>
              <w:t>£2.4m</w:t>
            </w:r>
          </w:p>
        </w:tc>
        <w:tc>
          <w:tcPr>
            <w:tcW w:type="dxa" w:w="1728"/>
          </w:tcPr>
          <w:p>
            <w:pPr>
              <w:jc w:val="right"/>
            </w:pPr>
            <w:r>
              <w:rPr/>
              <w:t>£2.0m</w:t>
            </w:r>
          </w:p>
        </w:tc>
        <w:tc>
          <w:tcPr>
            <w:tcW w:type="dxa" w:w="1728"/>
          </w:tcPr>
          <w:p>
            <w:pPr>
              <w:jc w:val="right"/>
            </w:pPr>
            <w:r>
              <w:rPr/>
              <w:t>+20.0%</w:t>
            </w:r>
          </w:p>
        </w:tc>
        <w:tc>
          <w:tcPr>
            <w:tcW w:type="dxa" w:w="1728"/>
          </w:tcPr>
          <w:p>
            <w:pPr>
              <w:jc w:val="left"/>
            </w:pPr>
            <w:r>
              <w:rPr/>
              <w:t>Travel, insurance, training</w:t>
            </w:r>
          </w:p>
        </w:tc>
      </w:tr>
      <w:tr>
        <w:tc>
          <w:tcPr>
            <w:tcW w:type="dxa" w:w="1728"/>
          </w:tcPr>
          <w:p>
            <w:pPr>
              <w:jc w:val="left"/>
            </w:pPr>
            <w:r>
              <w:rPr>
                <w:b/>
              </w:rPr>
              <w:t>Total</w:t>
            </w:r>
          </w:p>
        </w:tc>
        <w:tc>
          <w:tcPr>
            <w:tcW w:type="dxa" w:w="1728"/>
          </w:tcPr>
          <w:p>
            <w:pPr>
              <w:jc w:val="right"/>
            </w:pPr>
            <w:r>
              <w:rPr>
                <w:b/>
              </w:rPr>
              <w:t>£85.7m</w:t>
            </w:r>
          </w:p>
        </w:tc>
        <w:tc>
          <w:tcPr>
            <w:tcW w:type="dxa" w:w="1728"/>
          </w:tcPr>
          <w:p>
            <w:pPr>
              <w:jc w:val="right"/>
            </w:pPr>
            <w:r>
              <w:rPr>
                <w:b/>
              </w:rPr>
              <w:t>£74.9m</w:t>
            </w:r>
          </w:p>
        </w:tc>
        <w:tc>
          <w:tcPr>
            <w:tcW w:type="dxa" w:w="1728"/>
          </w:tcPr>
          <w:p>
            <w:pPr>
              <w:jc w:val="right"/>
            </w:pPr>
            <w:r>
              <w:rPr>
                <w:b/>
              </w:rPr>
              <w:t>+14.4%</w:t>
            </w:r>
          </w:p>
        </w:tc>
        <w:tc>
          <w:tcPr>
            <w:tcW w:type="dxa" w:w="1728"/>
          </w:tcPr>
          <w:p>
            <w:pPr>
              <w:jc w:val="left"/>
            </w:pPr>
          </w:p>
        </w:tc>
      </w:tr>
    </w:tbl>
    <w:p/>
    <w:p>
      <w:r>
        <w:rPr/>
        <w:t>The board asked for £1.2m of savings on draft 2. We made them by cutting the year-end headcount from 662 to 640 (22 roles, mostly in Sales and Operations) and by trimming £0.3m from marketing.</w:t>
      </w:r>
    </w:p>
    <w:p>
      <w:pPr>
        <w:pStyle w:val="Heading2"/>
      </w:pPr>
      <w:r>
        <w:rPr/>
        <w:t>5. Headcount</w:t>
      </w:r>
    </w:p>
    <w:p>
      <w:r>
        <w:rPr>
          <w:b/>
        </w:rPr>
        <w:t>Headcount at each quarter end</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trPr>
        <w:tc>
          <w:tcPr>
            <w:tcW w:type="dxa" w:w="1440"/>
          </w:tcPr>
          <w:p>
            <w:pPr>
              <w:jc w:val="left"/>
            </w:pPr>
          </w:p>
        </w:tc>
        <w:tc>
          <w:tcPr>
            <w:tcW w:type="dxa" w:w="1440"/>
          </w:tcPr>
          <w:p>
            <w:pPr>
              <w:jc w:val="right"/>
            </w:pPr>
            <w:r>
              <w:rPr>
                <w:b/>
              </w:rPr>
              <w:t>31 Dec 2025</w:t>
            </w:r>
          </w:p>
        </w:tc>
        <w:tc>
          <w:tcPr>
            <w:tcW w:type="dxa" w:w="1440"/>
          </w:tcPr>
          <w:p>
            <w:pPr>
              <w:jc w:val="right"/>
            </w:pPr>
            <w:r>
              <w:rPr>
                <w:b/>
              </w:rPr>
              <w:t>31 Mar 2026</w:t>
            </w:r>
          </w:p>
        </w:tc>
        <w:tc>
          <w:tcPr>
            <w:tcW w:type="dxa" w:w="1440"/>
          </w:tcPr>
          <w:p>
            <w:pPr>
              <w:jc w:val="right"/>
            </w:pPr>
            <w:r>
              <w:rPr>
                <w:b/>
              </w:rPr>
              <w:t>30 Jun 2026</w:t>
            </w:r>
          </w:p>
        </w:tc>
        <w:tc>
          <w:tcPr>
            <w:tcW w:type="dxa" w:w="1440"/>
          </w:tcPr>
          <w:p>
            <w:pPr>
              <w:jc w:val="right"/>
            </w:pPr>
            <w:r>
              <w:rPr>
                <w:b/>
              </w:rPr>
              <w:t>30 Sep 2026</w:t>
            </w:r>
          </w:p>
        </w:tc>
        <w:tc>
          <w:tcPr>
            <w:tcW w:type="dxa" w:w="1440"/>
          </w:tcPr>
          <w:p>
            <w:pPr>
              <w:jc w:val="right"/>
            </w:pPr>
            <w:r>
              <w:rPr>
                <w:b/>
              </w:rPr>
              <w:t>31 Dec 2026</w:t>
            </w:r>
          </w:p>
        </w:tc>
      </w:tr>
      <w:tr>
        <w:tc>
          <w:tcPr>
            <w:tcW w:type="dxa" w:w="1440"/>
          </w:tcPr>
          <w:p>
            <w:pPr>
              <w:jc w:val="left"/>
            </w:pPr>
            <w:r>
              <w:rPr/>
              <w:t>Total headcount</w:t>
            </w:r>
          </w:p>
        </w:tc>
        <w:tc>
          <w:tcPr>
            <w:tcW w:type="dxa" w:w="1440"/>
          </w:tcPr>
          <w:p>
            <w:pPr>
              <w:jc w:val="right"/>
            </w:pPr>
            <w:r>
              <w:rPr/>
              <w:t>562</w:t>
            </w:r>
          </w:p>
        </w:tc>
        <w:tc>
          <w:tcPr>
            <w:tcW w:type="dxa" w:w="1440"/>
          </w:tcPr>
          <w:p>
            <w:pPr>
              <w:jc w:val="right"/>
            </w:pPr>
            <w:r>
              <w:rPr/>
              <w:t>578</w:t>
            </w:r>
          </w:p>
        </w:tc>
        <w:tc>
          <w:tcPr>
            <w:tcW w:type="dxa" w:w="1440"/>
          </w:tcPr>
          <w:p>
            <w:pPr>
              <w:jc w:val="right"/>
            </w:pPr>
            <w:r>
              <w:rPr/>
              <w:t>598</w:t>
            </w:r>
          </w:p>
        </w:tc>
        <w:tc>
          <w:tcPr>
            <w:tcW w:type="dxa" w:w="1440"/>
          </w:tcPr>
          <w:p>
            <w:pPr>
              <w:jc w:val="right"/>
            </w:pPr>
            <w:r>
              <w:rPr/>
              <w:t>618</w:t>
            </w:r>
          </w:p>
        </w:tc>
        <w:tc>
          <w:tcPr>
            <w:tcW w:type="dxa" w:w="1440"/>
          </w:tcPr>
          <w:p>
            <w:pPr>
              <w:jc w:val="right"/>
            </w:pPr>
            <w:r>
              <w:rPr/>
              <w:t>640</w:t>
            </w:r>
          </w:p>
        </w:tc>
      </w:tr>
    </w:tbl>
    <w:p/>
    <w:p>
      <w:r>
        <w:rPr>
          <w:b/>
        </w:rPr>
        <w:t>Year-end headcount by department</w:t>
      </w:r>
    </w:p>
    <w:tbl>
      <w:tblPr>
        <w:tblStyle w:val="TableGrid"/>
        <w:tblW w:type="auto" w:w="0"/>
        <w:tblLook w:firstColumn="1" w:firstRow="1" w:lastColumn="0" w:lastRow="0" w:noHBand="0" w:noVBand="1" w:val="04A0"/>
      </w:tblPr>
      <w:tblGrid>
        <w:gridCol w:w="1728"/>
        <w:gridCol w:w="1728"/>
        <w:gridCol w:w="1728"/>
        <w:gridCol w:w="1728"/>
        <w:gridCol w:w="1728"/>
      </w:tblGrid>
      <w:tr>
        <w:trPr>
          <w:tblHeader/>
        </w:trPr>
        <w:tc>
          <w:tcPr>
            <w:tcW w:type="dxa" w:w="1728"/>
          </w:tcPr>
          <w:p>
            <w:pPr>
              <w:jc w:val="left"/>
            </w:pPr>
            <w:r>
              <w:rPr>
                <w:b/>
              </w:rPr>
              <w:t>Department</w:t>
            </w:r>
          </w:p>
        </w:tc>
        <w:tc>
          <w:tcPr>
            <w:tcW w:type="dxa" w:w="1728"/>
          </w:tcPr>
          <w:p>
            <w:pPr>
              <w:jc w:val="right"/>
            </w:pPr>
            <w:r>
              <w:rPr>
                <w:b/>
              </w:rPr>
              <w:t>31 Dec 2025</w:t>
            </w:r>
          </w:p>
        </w:tc>
        <w:tc>
          <w:tcPr>
            <w:tcW w:type="dxa" w:w="1728"/>
          </w:tcPr>
          <w:p>
            <w:pPr>
              <w:jc w:val="right"/>
            </w:pPr>
            <w:r>
              <w:rPr>
                <w:b/>
              </w:rPr>
              <w:t>31 Dec 2026 budget</w:t>
            </w:r>
          </w:p>
        </w:tc>
        <w:tc>
          <w:tcPr>
            <w:tcW w:type="dxa" w:w="1728"/>
          </w:tcPr>
          <w:p>
            <w:pPr>
              <w:jc w:val="right"/>
            </w:pPr>
            <w:r>
              <w:rPr>
                <w:b/>
              </w:rPr>
              <w:t>New roles</w:t>
            </w:r>
          </w:p>
        </w:tc>
        <w:tc>
          <w:tcPr>
            <w:tcW w:type="dxa" w:w="1728"/>
          </w:tcPr>
          <w:p>
            <w:pPr>
              <w:jc w:val="left"/>
            </w:pPr>
            <w:r>
              <w:rPr>
                <w:b/>
              </w:rPr>
              <w:t>Budget holder</w:t>
            </w:r>
          </w:p>
        </w:tc>
      </w:tr>
      <w:tr>
        <w:tc>
          <w:tcPr>
            <w:tcW w:type="dxa" w:w="1728"/>
          </w:tcPr>
          <w:p>
            <w:pPr>
              <w:jc w:val="left"/>
            </w:pPr>
            <w:r>
              <w:rPr/>
              <w:t>Engineering</w:t>
            </w:r>
          </w:p>
        </w:tc>
        <w:tc>
          <w:tcPr>
            <w:tcW w:type="dxa" w:w="1728"/>
          </w:tcPr>
          <w:p>
            <w:pPr>
              <w:jc w:val="right"/>
            </w:pPr>
            <w:r>
              <w:rPr/>
              <w:t>196</w:t>
            </w:r>
          </w:p>
        </w:tc>
        <w:tc>
          <w:tcPr>
            <w:tcW w:type="dxa" w:w="1728"/>
          </w:tcPr>
          <w:p>
            <w:pPr>
              <w:jc w:val="right"/>
            </w:pPr>
            <w:r>
              <w:rPr/>
              <w:t>228</w:t>
            </w:r>
          </w:p>
        </w:tc>
        <w:tc>
          <w:tcPr>
            <w:tcW w:type="dxa" w:w="1728"/>
          </w:tcPr>
          <w:p>
            <w:pPr>
              <w:jc w:val="right"/>
            </w:pPr>
            <w:r>
              <w:rPr/>
              <w:t>32</w:t>
            </w:r>
          </w:p>
        </w:tc>
        <w:tc>
          <w:tcPr>
            <w:tcW w:type="dxa" w:w="1728"/>
          </w:tcPr>
          <w:p>
            <w:pPr>
              <w:jc w:val="left"/>
            </w:pPr>
            <w:r>
              <w:rPr/>
              <w:t>Priya Nair</w:t>
            </w:r>
          </w:p>
        </w:tc>
      </w:tr>
      <w:tr>
        <w:tc>
          <w:tcPr>
            <w:tcW w:type="dxa" w:w="1728"/>
          </w:tcPr>
          <w:p>
            <w:pPr>
              <w:jc w:val="left"/>
            </w:pPr>
            <w:r>
              <w:rPr/>
              <w:t>Product and Design</w:t>
            </w:r>
          </w:p>
        </w:tc>
        <w:tc>
          <w:tcPr>
            <w:tcW w:type="dxa" w:w="1728"/>
          </w:tcPr>
          <w:p>
            <w:pPr>
              <w:jc w:val="right"/>
            </w:pPr>
            <w:r>
              <w:rPr/>
              <w:t>35</w:t>
            </w:r>
          </w:p>
        </w:tc>
        <w:tc>
          <w:tcPr>
            <w:tcW w:type="dxa" w:w="1728"/>
          </w:tcPr>
          <w:p>
            <w:pPr>
              <w:jc w:val="right"/>
            </w:pPr>
            <w:r>
              <w:rPr/>
              <w:t>40</w:t>
            </w:r>
          </w:p>
        </w:tc>
        <w:tc>
          <w:tcPr>
            <w:tcW w:type="dxa" w:w="1728"/>
          </w:tcPr>
          <w:p>
            <w:pPr>
              <w:jc w:val="right"/>
            </w:pPr>
            <w:r>
              <w:rPr/>
              <w:t>5</w:t>
            </w:r>
          </w:p>
        </w:tc>
        <w:tc>
          <w:tcPr>
            <w:tcW w:type="dxa" w:w="1728"/>
          </w:tcPr>
          <w:p>
            <w:pPr>
              <w:jc w:val="left"/>
            </w:pPr>
            <w:r>
              <w:rPr/>
              <w:t>Priya Nair</w:t>
            </w:r>
          </w:p>
        </w:tc>
      </w:tr>
      <w:tr>
        <w:tc>
          <w:tcPr>
            <w:tcW w:type="dxa" w:w="1728"/>
          </w:tcPr>
          <w:p>
            <w:pPr>
              <w:jc w:val="left"/>
            </w:pPr>
            <w:r>
              <w:rPr/>
              <w:t>Operations</w:t>
            </w:r>
          </w:p>
        </w:tc>
        <w:tc>
          <w:tcPr>
            <w:tcW w:type="dxa" w:w="1728"/>
          </w:tcPr>
          <w:p>
            <w:pPr>
              <w:jc w:val="right"/>
            </w:pPr>
            <w:r>
              <w:rPr/>
              <w:t>130</w:t>
            </w:r>
          </w:p>
        </w:tc>
        <w:tc>
          <w:tcPr>
            <w:tcW w:type="dxa" w:w="1728"/>
          </w:tcPr>
          <w:p>
            <w:pPr>
              <w:jc w:val="right"/>
            </w:pPr>
            <w:r>
              <w:rPr/>
              <w:t>146</w:t>
            </w:r>
          </w:p>
        </w:tc>
        <w:tc>
          <w:tcPr>
            <w:tcW w:type="dxa" w:w="1728"/>
          </w:tcPr>
          <w:p>
            <w:pPr>
              <w:jc w:val="right"/>
            </w:pPr>
            <w:r>
              <w:rPr/>
              <w:t>16</w:t>
            </w:r>
          </w:p>
        </w:tc>
        <w:tc>
          <w:tcPr>
            <w:tcW w:type="dxa" w:w="1728"/>
          </w:tcPr>
          <w:p>
            <w:pPr>
              <w:jc w:val="left"/>
            </w:pPr>
            <w:r>
              <w:rPr/>
              <w:t>Amara Okafor (until a Head of Operations is hired)</w:t>
            </w:r>
          </w:p>
        </w:tc>
      </w:tr>
      <w:tr>
        <w:tc>
          <w:tcPr>
            <w:tcW w:type="dxa" w:w="1728"/>
          </w:tcPr>
          <w:p>
            <w:pPr>
              <w:jc w:val="left"/>
            </w:pPr>
            <w:r>
              <w:rPr/>
              <w:t>Sales and Customer Success</w:t>
            </w:r>
          </w:p>
        </w:tc>
        <w:tc>
          <w:tcPr>
            <w:tcW w:type="dxa" w:w="1728"/>
          </w:tcPr>
          <w:p>
            <w:pPr>
              <w:jc w:val="right"/>
            </w:pPr>
            <w:r>
              <w:rPr/>
              <w:t>88</w:t>
            </w:r>
          </w:p>
        </w:tc>
        <w:tc>
          <w:tcPr>
            <w:tcW w:type="dxa" w:w="1728"/>
          </w:tcPr>
          <w:p>
            <w:pPr>
              <w:jc w:val="right"/>
            </w:pPr>
            <w:r>
              <w:rPr/>
              <w:t>103</w:t>
            </w:r>
          </w:p>
        </w:tc>
        <w:tc>
          <w:tcPr>
            <w:tcW w:type="dxa" w:w="1728"/>
          </w:tcPr>
          <w:p>
            <w:pPr>
              <w:jc w:val="right"/>
            </w:pPr>
            <w:r>
              <w:rPr/>
              <w:t>15</w:t>
            </w:r>
          </w:p>
        </w:tc>
        <w:tc>
          <w:tcPr>
            <w:tcW w:type="dxa" w:w="1728"/>
          </w:tcPr>
          <w:p>
            <w:pPr>
              <w:jc w:val="left"/>
            </w:pPr>
            <w:r>
              <w:rPr/>
              <w:t>Jake Morrison</w:t>
            </w:r>
          </w:p>
        </w:tc>
      </w:tr>
      <w:tr>
        <w:tc>
          <w:tcPr>
            <w:tcW w:type="dxa" w:w="1728"/>
          </w:tcPr>
          <w:p>
            <w:pPr>
              <w:jc w:val="left"/>
            </w:pPr>
            <w:r>
              <w:rPr/>
              <w:t>Marketing</w:t>
            </w:r>
          </w:p>
        </w:tc>
        <w:tc>
          <w:tcPr>
            <w:tcW w:type="dxa" w:w="1728"/>
          </w:tcPr>
          <w:p>
            <w:pPr>
              <w:jc w:val="right"/>
            </w:pPr>
            <w:r>
              <w:rPr/>
              <w:t>22</w:t>
            </w:r>
          </w:p>
        </w:tc>
        <w:tc>
          <w:tcPr>
            <w:tcW w:type="dxa" w:w="1728"/>
          </w:tcPr>
          <w:p>
            <w:pPr>
              <w:jc w:val="right"/>
            </w:pPr>
            <w:r>
              <w:rPr/>
              <w:t>26</w:t>
            </w:r>
          </w:p>
        </w:tc>
        <w:tc>
          <w:tcPr>
            <w:tcW w:type="dxa" w:w="1728"/>
          </w:tcPr>
          <w:p>
            <w:pPr>
              <w:jc w:val="right"/>
            </w:pPr>
            <w:r>
              <w:rPr/>
              <w:t>4</w:t>
            </w:r>
          </w:p>
        </w:tc>
        <w:tc>
          <w:tcPr>
            <w:tcW w:type="dxa" w:w="1728"/>
          </w:tcPr>
          <w:p>
            <w:pPr>
              <w:jc w:val="left"/>
            </w:pPr>
            <w:r>
              <w:rPr/>
              <w:t>Jake Morrison</w:t>
            </w:r>
          </w:p>
        </w:tc>
      </w:tr>
      <w:tr>
        <w:tc>
          <w:tcPr>
            <w:tcW w:type="dxa" w:w="1728"/>
          </w:tcPr>
          <w:p>
            <w:pPr>
              <w:jc w:val="left"/>
            </w:pPr>
            <w:r>
              <w:rPr/>
              <w:t>Finance</w:t>
            </w:r>
          </w:p>
        </w:tc>
        <w:tc>
          <w:tcPr>
            <w:tcW w:type="dxa" w:w="1728"/>
          </w:tcPr>
          <w:p>
            <w:pPr>
              <w:jc w:val="right"/>
            </w:pPr>
            <w:r>
              <w:rPr/>
              <w:t>29</w:t>
            </w:r>
          </w:p>
        </w:tc>
        <w:tc>
          <w:tcPr>
            <w:tcW w:type="dxa" w:w="1728"/>
          </w:tcPr>
          <w:p>
            <w:pPr>
              <w:jc w:val="right"/>
            </w:pPr>
            <w:r>
              <w:rPr/>
              <w:t>32</w:t>
            </w:r>
          </w:p>
        </w:tc>
        <w:tc>
          <w:tcPr>
            <w:tcW w:type="dxa" w:w="1728"/>
          </w:tcPr>
          <w:p>
            <w:pPr>
              <w:jc w:val="right"/>
            </w:pPr>
            <w:r>
              <w:rPr/>
              <w:t>3</w:t>
            </w:r>
          </w:p>
        </w:tc>
        <w:tc>
          <w:tcPr>
            <w:tcW w:type="dxa" w:w="1728"/>
          </w:tcPr>
          <w:p>
            <w:pPr>
              <w:jc w:val="left"/>
            </w:pPr>
            <w:r>
              <w:rPr/>
              <w:t>Daniel Reyes</w:t>
            </w:r>
          </w:p>
        </w:tc>
      </w:tr>
      <w:tr>
        <w:tc>
          <w:tcPr>
            <w:tcW w:type="dxa" w:w="1728"/>
          </w:tcPr>
          <w:p>
            <w:pPr>
              <w:jc w:val="left"/>
            </w:pPr>
            <w:r>
              <w:rPr/>
              <w:t>Legal and Compliance</w:t>
            </w:r>
          </w:p>
        </w:tc>
        <w:tc>
          <w:tcPr>
            <w:tcW w:type="dxa" w:w="1728"/>
          </w:tcPr>
          <w:p>
            <w:pPr>
              <w:jc w:val="right"/>
            </w:pPr>
            <w:r>
              <w:rPr/>
              <w:t>24</w:t>
            </w:r>
          </w:p>
        </w:tc>
        <w:tc>
          <w:tcPr>
            <w:tcW w:type="dxa" w:w="1728"/>
          </w:tcPr>
          <w:p>
            <w:pPr>
              <w:jc w:val="right"/>
            </w:pPr>
            <w:r>
              <w:rPr/>
              <w:t>29</w:t>
            </w:r>
          </w:p>
        </w:tc>
        <w:tc>
          <w:tcPr>
            <w:tcW w:type="dxa" w:w="1728"/>
          </w:tcPr>
          <w:p>
            <w:pPr>
              <w:jc w:val="right"/>
            </w:pPr>
            <w:r>
              <w:rPr/>
              <w:t>5</w:t>
            </w:r>
          </w:p>
        </w:tc>
        <w:tc>
          <w:tcPr>
            <w:tcW w:type="dxa" w:w="1728"/>
          </w:tcPr>
          <w:p>
            <w:pPr>
              <w:jc w:val="left"/>
            </w:pPr>
            <w:r>
              <w:rPr/>
              <w:t>Helen Marsh</w:t>
            </w:r>
          </w:p>
        </w:tc>
      </w:tr>
      <w:tr>
        <w:tc>
          <w:tcPr>
            <w:tcW w:type="dxa" w:w="1728"/>
          </w:tcPr>
          <w:p>
            <w:pPr>
              <w:jc w:val="left"/>
            </w:pPr>
            <w:r>
              <w:rPr/>
              <w:t>People</w:t>
            </w:r>
          </w:p>
        </w:tc>
        <w:tc>
          <w:tcPr>
            <w:tcW w:type="dxa" w:w="1728"/>
          </w:tcPr>
          <w:p>
            <w:pPr>
              <w:jc w:val="right"/>
            </w:pPr>
            <w:r>
              <w:rPr/>
              <w:t>17</w:t>
            </w:r>
          </w:p>
        </w:tc>
        <w:tc>
          <w:tcPr>
            <w:tcW w:type="dxa" w:w="1728"/>
          </w:tcPr>
          <w:p>
            <w:pPr>
              <w:jc w:val="right"/>
            </w:pPr>
            <w:r>
              <w:rPr/>
              <w:t>18</w:t>
            </w:r>
          </w:p>
        </w:tc>
        <w:tc>
          <w:tcPr>
            <w:tcW w:type="dxa" w:w="1728"/>
          </w:tcPr>
          <w:p>
            <w:pPr>
              <w:jc w:val="right"/>
            </w:pPr>
            <w:r>
              <w:rPr/>
              <w:t>1</w:t>
            </w:r>
          </w:p>
        </w:tc>
        <w:tc>
          <w:tcPr>
            <w:tcW w:type="dxa" w:w="1728"/>
          </w:tcPr>
          <w:p>
            <w:pPr>
              <w:jc w:val="left"/>
            </w:pPr>
            <w:r>
              <w:rPr/>
              <w:t>Marco Bianchi</w:t>
            </w:r>
          </w:p>
        </w:tc>
      </w:tr>
      <w:tr>
        <w:tc>
          <w:tcPr>
            <w:tcW w:type="dxa" w:w="1728"/>
          </w:tcPr>
          <w:p>
            <w:pPr>
              <w:jc w:val="left"/>
            </w:pPr>
            <w:r>
              <w:rPr/>
              <w:t>Executive and Central</w:t>
            </w:r>
          </w:p>
        </w:tc>
        <w:tc>
          <w:tcPr>
            <w:tcW w:type="dxa" w:w="1728"/>
          </w:tcPr>
          <w:p>
            <w:pPr>
              <w:jc w:val="right"/>
            </w:pPr>
            <w:r>
              <w:rPr/>
              <w:t>21</w:t>
            </w:r>
          </w:p>
        </w:tc>
        <w:tc>
          <w:tcPr>
            <w:tcW w:type="dxa" w:w="1728"/>
          </w:tcPr>
          <w:p>
            <w:pPr>
              <w:jc w:val="right"/>
            </w:pPr>
            <w:r>
              <w:rPr/>
              <w:t>18</w:t>
            </w:r>
          </w:p>
        </w:tc>
        <w:tc>
          <w:tcPr>
            <w:tcW w:type="dxa" w:w="1728"/>
          </w:tcPr>
          <w:p>
            <w:pPr>
              <w:jc w:val="right"/>
            </w:pPr>
            <w:r>
              <w:rPr/>
              <w:t>(3)</w:t>
            </w:r>
          </w:p>
        </w:tc>
        <w:tc>
          <w:tcPr>
            <w:tcW w:type="dxa" w:w="1728"/>
          </w:tcPr>
          <w:p>
            <w:pPr>
              <w:jc w:val="left"/>
            </w:pPr>
            <w:r>
              <w:rPr/>
              <w:t>Amara Okafor</w:t>
            </w:r>
          </w:p>
        </w:tc>
      </w:tr>
      <w:tr>
        <w:tc>
          <w:tcPr>
            <w:tcW w:type="dxa" w:w="1728"/>
          </w:tcPr>
          <w:p>
            <w:pPr>
              <w:jc w:val="left"/>
            </w:pPr>
            <w:r>
              <w:rPr>
                <w:b/>
              </w:rPr>
              <w:t>Total</w:t>
            </w:r>
          </w:p>
        </w:tc>
        <w:tc>
          <w:tcPr>
            <w:tcW w:type="dxa" w:w="1728"/>
          </w:tcPr>
          <w:p>
            <w:pPr>
              <w:jc w:val="right"/>
            </w:pPr>
            <w:r>
              <w:rPr>
                <w:b/>
              </w:rPr>
              <w:t>562</w:t>
            </w:r>
          </w:p>
        </w:tc>
        <w:tc>
          <w:tcPr>
            <w:tcW w:type="dxa" w:w="1728"/>
          </w:tcPr>
          <w:p>
            <w:pPr>
              <w:jc w:val="right"/>
            </w:pPr>
            <w:r>
              <w:rPr>
                <w:b/>
              </w:rPr>
              <w:t>640</w:t>
            </w:r>
          </w:p>
        </w:tc>
        <w:tc>
          <w:tcPr>
            <w:tcW w:type="dxa" w:w="1728"/>
          </w:tcPr>
          <w:p>
            <w:pPr>
              <w:jc w:val="right"/>
            </w:pPr>
            <w:r>
              <w:rPr>
                <w:b/>
              </w:rPr>
              <w:t>78</w:t>
            </w:r>
          </w:p>
        </w:tc>
        <w:tc>
          <w:tcPr>
            <w:tcW w:type="dxa" w:w="1728"/>
          </w:tcPr>
          <w:p>
            <w:pPr>
              <w:jc w:val="left"/>
            </w:pPr>
          </w:p>
        </w:tc>
      </w:tr>
    </w:tbl>
    <w:p/>
    <w:p>
      <w:r>
        <w:rPr/>
        <w:t>Executive and Central falls because three fixed-term roles end during 2026. Headcount means permanent and fixed-term employees; contractors and interns are budgeted in other costs.</w:t>
      </w:r>
    </w:p>
    <w:p>
      <w:r>
        <w:br w:type="page"/>
      </w:r>
    </w:p>
    <w:p>
      <w:pPr>
        <w:pStyle w:val="Heading2"/>
      </w:pPr>
      <w:r>
        <w:rPr/>
        <w:t>6. Capital spending and cash</w:t>
      </w:r>
    </w:p>
    <w:p>
      <w:pPr>
        <w:pStyle w:val="ListBullet"/>
      </w:pPr>
      <w:r>
        <w:rPr/>
        <w:t>Capital expenditure £10.4m, of which £8.6m is capitalised development (about 30% of Engineering time).</w:t>
      </w:r>
    </w:p>
    <w:p>
      <w:pPr>
        <w:pStyle w:val="ListBullet"/>
      </w:pPr>
      <w:r>
        <w:rPr/>
        <w:t>Depreciation and amortisation £5.8m.</w:t>
      </w:r>
    </w:p>
    <w:p>
      <w:pPr>
        <w:pStyle w:val="ListBullet"/>
      </w:pPr>
      <w:r>
        <w:rPr/>
        <w:t>Budgeted cash at 31 December 2026: £68.5m. Customer funds held in safeguarding accounts are not included.</w:t>
      </w:r>
    </w:p>
    <w:p>
      <w:pPr>
        <w:pStyle w:val="Heading2"/>
      </w:pPr>
      <w:r>
        <w:rPr/>
        <w:t>7. Other assumptions</w:t>
      </w:r>
    </w:p>
    <w:p>
      <w:pPr>
        <w:pStyle w:val="ListBullet"/>
      </w:pPr>
      <w:r>
        <w:rPr>
          <w:b/>
        </w:rPr>
        <w:t>FX:</w:t>
      </w:r>
      <w:r>
        <w:rPr/>
        <w:t xml:space="preserve"> EUR to GBP at 0.86 for the whole year.</w:t>
      </w:r>
    </w:p>
    <w:p>
      <w:pPr>
        <w:pStyle w:val="ListBullet"/>
      </w:pPr>
      <w:r>
        <w:rPr>
          <w:b/>
        </w:rPr>
        <w:t>Interest:</w:t>
      </w:r>
      <w:r>
        <w:rPr/>
        <w:t xml:space="preserve"> Bank Rate averaging 3.75% in 2026. We earn interest on our own cash only.</w:t>
      </w:r>
    </w:p>
    <w:p>
      <w:pPr>
        <w:pStyle w:val="ListBullet"/>
      </w:pPr>
      <w:r>
        <w:rPr>
          <w:b/>
        </w:rPr>
        <w:t>Pay:</w:t>
      </w:r>
      <w:r>
        <w:rPr/>
        <w:t xml:space="preserve"> 4.5% average rise from 1 April 2026; employer National Insurance at 15%.</w:t>
      </w:r>
    </w:p>
    <w:p>
      <w:pPr>
        <w:pStyle w:val="ListBullet"/>
      </w:pPr>
      <w:r>
        <w:rPr>
          <w:b/>
        </w:rPr>
        <w:t>No acquisitions.</w:t>
      </w:r>
      <w:r>
        <w:rPr/>
        <w:t xml:space="preserve"> The budget includes no M&amp;A. Any deal would come to the board separately with its own funding.</w:t>
      </w:r>
    </w:p>
    <w:p>
      <w:pPr>
        <w:pStyle w:val="ListBullet"/>
      </w:pPr>
      <w:r>
        <w:rPr>
          <w:b/>
        </w:rPr>
        <w:t>Prices:</w:t>
      </w:r>
      <w:r>
        <w:rPr/>
        <w:t xml:space="preserve"> revenue is built on price list 2026.1, which takes effect on 1 January 2026, plus the changes agreed with Sales for 1 April 2026 (price list 2026.2, for new contracts and renewals): Checkout Pro monthly (KC-PRO-01) rises from £45 to £49 a month, extra expense cards (KA-CARD-01) from £2.50 to £3 a month, and the KP-BULK-2000 overage falls from 28p to 25p a payout. Because the April changes apply only to new contracts and renewals, together they add about £0.1m to FY2026 revenue. No other list price changes are assumed in 2026.</w:t>
      </w:r>
    </w:p>
    <w:p>
      <w:pPr>
        <w:pStyle w:val="Heading2"/>
      </w:pPr>
      <w:r>
        <w:rPr/>
        <w:t>8. Sensitivities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Risk</w:t>
            </w:r>
          </w:p>
        </w:tc>
        <w:tc>
          <w:tcPr>
            <w:tcW w:type="dxa" w:w="2880"/>
          </w:tcPr>
          <w:p>
            <w:pPr>
              <w:jc w:val="right"/>
            </w:pPr>
            <w:r>
              <w:rPr>
                <w:b/>
              </w:rPr>
              <w:t>Effect on FY2026 revenue</w:t>
            </w:r>
          </w:p>
        </w:tc>
        <w:tc>
          <w:tcPr>
            <w:tcW w:type="dxa" w:w="2880"/>
          </w:tcPr>
          <w:p>
            <w:pPr>
              <w:jc w:val="right"/>
            </w:pPr>
            <w:r>
              <w:rPr>
                <w:b/>
              </w:rPr>
              <w:t>Effect on FY2026 EBITDA</w:t>
            </w:r>
          </w:p>
        </w:tc>
      </w:tr>
      <w:tr>
        <w:tc>
          <w:tcPr>
            <w:tcW w:type="dxa" w:w="2880"/>
          </w:tcPr>
          <w:p>
            <w:pPr>
              <w:jc w:val="left"/>
            </w:pPr>
            <w:r>
              <w:rPr/>
              <w:t>Payouts bureau go-lives slip by 3 months</w:t>
            </w:r>
          </w:p>
        </w:tc>
        <w:tc>
          <w:tcPr>
            <w:tcW w:type="dxa" w:w="2880"/>
          </w:tcPr>
          <w:p>
            <w:pPr>
              <w:jc w:val="right"/>
            </w:pPr>
            <w:r>
              <w:rPr/>
              <w:t>(£0.6m)</w:t>
            </w:r>
          </w:p>
        </w:tc>
        <w:tc>
          <w:tcPr>
            <w:tcW w:type="dxa" w:w="2880"/>
          </w:tcPr>
          <w:p>
            <w:pPr>
              <w:jc w:val="right"/>
            </w:pPr>
            <w:r>
              <w:rPr/>
              <w:t>(£0.3m)</w:t>
            </w:r>
          </w:p>
        </w:tc>
      </w:tr>
      <w:tr>
        <w:tc>
          <w:tcPr>
            <w:tcW w:type="dxa" w:w="2880"/>
          </w:tcPr>
          <w:p>
            <w:pPr>
              <w:jc w:val="left"/>
            </w:pPr>
            <w:r>
              <w:rPr/>
              <w:t>Checkout volume 5% below plan</w:t>
            </w:r>
          </w:p>
        </w:tc>
        <w:tc>
          <w:tcPr>
            <w:tcW w:type="dxa" w:w="2880"/>
          </w:tcPr>
          <w:p>
            <w:pPr>
              <w:jc w:val="right"/>
            </w:pPr>
            <w:r>
              <w:rPr/>
              <w:t>(£4.4m)</w:t>
            </w:r>
          </w:p>
        </w:tc>
        <w:tc>
          <w:tcPr>
            <w:tcW w:type="dxa" w:w="2880"/>
          </w:tcPr>
          <w:p>
            <w:pPr>
              <w:jc w:val="right"/>
            </w:pPr>
            <w:r>
              <w:rPr/>
              <w:t>(£2.0m)</w:t>
            </w:r>
          </w:p>
        </w:tc>
      </w:tr>
      <w:tr>
        <w:tc>
          <w:tcPr>
            <w:tcW w:type="dxa" w:w="2880"/>
          </w:tcPr>
          <w:p>
            <w:pPr>
              <w:jc w:val="left"/>
            </w:pPr>
            <w:r>
              <w:rPr/>
              <w:t>Fraud losses stay at the FY2025 rate of 3.5%</w:t>
            </w:r>
          </w:p>
        </w:tc>
        <w:tc>
          <w:tcPr>
            <w:tcW w:type="dxa" w:w="2880"/>
          </w:tcPr>
          <w:p>
            <w:pPr>
              <w:jc w:val="right"/>
            </w:pPr>
            <w:r>
              <w:rPr/>
              <w:t>none</w:t>
            </w:r>
          </w:p>
        </w:tc>
        <w:tc>
          <w:tcPr>
            <w:tcW w:type="dxa" w:w="2880"/>
          </w:tcPr>
          <w:p>
            <w:pPr>
              <w:jc w:val="right"/>
            </w:pPr>
            <w:r>
              <w:rPr/>
              <w:t>(£0.6m)</w:t>
            </w:r>
          </w:p>
        </w:tc>
      </w:tr>
      <w:tr>
        <w:tc>
          <w:tcPr>
            <w:tcW w:type="dxa" w:w="2880"/>
          </w:tcPr>
          <w:p>
            <w:pPr>
              <w:jc w:val="left"/>
            </w:pPr>
            <w:r>
              <w:rPr/>
              <w:t>Hiring runs 2 months late on average</w:t>
            </w:r>
          </w:p>
        </w:tc>
        <w:tc>
          <w:tcPr>
            <w:tcW w:type="dxa" w:w="2880"/>
          </w:tcPr>
          <w:p>
            <w:pPr>
              <w:jc w:val="right"/>
            </w:pPr>
            <w:r>
              <w:rPr/>
              <w:t>none</w:t>
            </w:r>
          </w:p>
        </w:tc>
        <w:tc>
          <w:tcPr>
            <w:tcW w:type="dxa" w:w="2880"/>
          </w:tcPr>
          <w:p>
            <w:pPr>
              <w:jc w:val="right"/>
            </w:pPr>
            <w:r>
              <w:rPr/>
              <w:t>+£1.8m</w:t>
            </w:r>
          </w:p>
        </w:tc>
      </w:tr>
    </w:tbl>
    <w:p/>
    <w:p>
      <w:pPr>
        <w:pStyle w:val="Heading2"/>
      </w:pPr>
      <w:r>
        <w:rPr/>
        <w:t>9. Monthly reporting against the budget</w:t>
      </w:r>
    </w:p>
    <w:p>
      <w:pPr>
        <w:pStyle w:val="ListBullet"/>
      </w:pPr>
      <w:r>
        <w:rPr/>
        <w:t>FP&amp;A loads the budget into NetSuite by 9 January 2026, phased by month.</w:t>
      </w:r>
    </w:p>
    <w:p>
      <w:pPr>
        <w:pStyle w:val="ListBullet"/>
      </w:pPr>
      <w:r>
        <w:rPr/>
        <w:t>Budget holders get a variance report on WD8 each month with the management accounts.</w:t>
      </w:r>
    </w:p>
    <w:p>
      <w:pPr>
        <w:pStyle w:val="ListBullet"/>
      </w:pPr>
      <w:r>
        <w:rPr/>
        <w:t>Any variance over £100,000 or 10% on a cost line needs a one-line explanation from the budget holder by WD10.</w:t>
      </w:r>
    </w:p>
    <w:p>
      <w:pPr>
        <w:pStyle w:val="ListBullet"/>
      </w:pPr>
      <w:r>
        <w:rPr/>
        <w:t>We reforecast the full year after each quarter close and take it to the next board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FY2026 Budget: Notes and Assumptions</dc:title>
  <dc:subject/>
  <dc:creator>Jonas Berg</dc:creator>
  <cp:keywords/>
  <dc:description/>
  <cp:lastModifiedBy>Jonas Berg</cp:lastModifiedBy>
  <cp:revision>1</cp:revision>
  <dcterms:created xsi:type="dcterms:W3CDTF">2025-11-24T08:02:00Z</dcterms:created>
  <dcterms:modified xsi:type="dcterms:W3CDTF">2026-01-21T16:31:00Z</dcterms:modified>
  <cp:category/>
</cp:coreProperties>
</file>