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Project Heron: integration plan</w:t>
      </w:r>
    </w:p>
    <w:p>
      <w:r>
        <w:rPr>
          <w:b/>
        </w:rPr>
        <w:t>Draft v0.4, 28 September 2026. Confidential: Exec team and Tom Whitfield only.</w:t>
      </w:r>
    </w:p>
    <w:p>
      <w:r>
        <w:rPr/>
        <w:t>Tom Whitfield was given read access to this document on 28 September 2026, with the CFO's approval, to plan the finance workstream. He is on the insider list. Do not forward it or share it with anyone else.</w:t>
      </w:r>
    </w:p>
    <w:tbl>
      <w:tblPr>
        <w:tblStyle w:val="TableGrid"/>
        <w:tblW w:type="auto" w:w="0"/>
        <w:tblLook w:firstColumn="1" w:firstRow="1" w:lastColumn="0" w:lastRow="0" w:noHBand="0" w:noVBand="1" w:val="04A0"/>
      </w:tblPr>
      <w:tblGrid>
        <w:gridCol w:w="4320"/>
        <w:gridCol w:w="4320"/>
      </w:tblGrid>
      <w:tr>
        <w:trPr>
          <w:tblHeader/>
        </w:trPr>
        <w:tc>
          <w:tcPr>
            <w:tcW w:type="dxa" w:w="4320"/>
          </w:tcPr>
          <w:p>
            <w:pPr>
              <w:jc w:val="left"/>
            </w:pPr>
            <w:r>
              <w:rPr>
                <w:b/>
              </w:rPr>
              <w:t>Field</w:t>
            </w:r>
          </w:p>
        </w:tc>
        <w:tc>
          <w:tcPr>
            <w:tcW w:type="dxa" w:w="4320"/>
          </w:tcPr>
          <w:p>
            <w:pPr>
              <w:jc w:val="left"/>
            </w:pPr>
            <w:r>
              <w:rPr>
                <w:b/>
              </w:rPr>
              <w:t>Detail</w:t>
            </w:r>
          </w:p>
        </w:tc>
      </w:tr>
      <w:tr>
        <w:tc>
          <w:tcPr>
            <w:tcW w:type="dxa" w:w="4320"/>
          </w:tcPr>
          <w:p>
            <w:pPr>
              <w:jc w:val="left"/>
            </w:pPr>
            <w:r>
              <w:rPr/>
              <w:t>Integration lead</w:t>
            </w:r>
          </w:p>
        </w:tc>
        <w:tc>
          <w:tcPr>
            <w:tcW w:type="dxa" w:w="4320"/>
          </w:tcPr>
          <w:p>
            <w:pPr>
              <w:jc w:val="left"/>
            </w:pPr>
            <w:r>
              <w:rPr/>
              <w:t>Daniel Reyes (CFO)</w:t>
            </w:r>
          </w:p>
        </w:tc>
      </w:tr>
      <w:tr>
        <w:tc>
          <w:tcPr>
            <w:tcW w:type="dxa" w:w="4320"/>
          </w:tcPr>
          <w:p>
            <w:pPr>
              <w:jc w:val="left"/>
            </w:pPr>
            <w:r>
              <w:rPr/>
              <w:t>Depends on</w:t>
            </w:r>
          </w:p>
        </w:tc>
        <w:tc>
          <w:tcPr>
            <w:tcW w:type="dxa" w:w="4320"/>
          </w:tcPr>
          <w:p>
            <w:pPr>
              <w:jc w:val="left"/>
            </w:pPr>
            <w:r>
              <w:rPr/>
              <w:t>Board approval on 20 October 2026, signing on 23 October, completion on 1 December 2026</w:t>
            </w:r>
          </w:p>
        </w:tc>
      </w:tr>
      <w:tr>
        <w:tc>
          <w:tcPr>
            <w:tcW w:type="dxa" w:w="4320"/>
          </w:tcPr>
          <w:p>
            <w:pPr>
              <w:jc w:val="left"/>
            </w:pPr>
            <w:r>
              <w:rPr/>
              <w:t>Day 1</w:t>
            </w:r>
          </w:p>
        </w:tc>
        <w:tc>
          <w:tcPr>
            <w:tcW w:type="dxa" w:w="4320"/>
          </w:tcPr>
          <w:p>
            <w:pPr>
              <w:jc w:val="left"/>
            </w:pPr>
            <w:r>
              <w:rPr/>
              <w:t>Tuesday 1 December 2026 (completion)</w:t>
            </w:r>
          </w:p>
        </w:tc>
      </w:tr>
      <w:tr>
        <w:tc>
          <w:tcPr>
            <w:tcW w:type="dxa" w:w="4320"/>
          </w:tcPr>
          <w:p>
            <w:pPr>
              <w:jc w:val="left"/>
            </w:pPr>
            <w:r>
              <w:rPr/>
              <w:t>Day 30</w:t>
            </w:r>
          </w:p>
        </w:tc>
        <w:tc>
          <w:tcPr>
            <w:tcW w:type="dxa" w:w="4320"/>
          </w:tcPr>
          <w:p>
            <w:pPr>
              <w:jc w:val="left"/>
            </w:pPr>
            <w:r>
              <w:rPr/>
              <w:t>Wednesday 30 December 2026</w:t>
            </w:r>
          </w:p>
        </w:tc>
      </w:tr>
      <w:tr>
        <w:tc>
          <w:tcPr>
            <w:tcW w:type="dxa" w:w="4320"/>
          </w:tcPr>
          <w:p>
            <w:pPr>
              <w:jc w:val="left"/>
            </w:pPr>
            <w:r>
              <w:rPr/>
              <w:t>Day 100</w:t>
            </w:r>
          </w:p>
        </w:tc>
        <w:tc>
          <w:tcPr>
            <w:tcW w:type="dxa" w:w="4320"/>
          </w:tcPr>
          <w:p>
            <w:pPr>
              <w:jc w:val="left"/>
            </w:pPr>
            <w:r>
              <w:rPr/>
              <w:t>Wednesday 10 March 2027</w:t>
            </w:r>
          </w:p>
        </w:tc>
      </w:tr>
      <w:tr>
        <w:tc>
          <w:tcPr>
            <w:tcW w:type="dxa" w:w="4320"/>
          </w:tcPr>
          <w:p>
            <w:pPr>
              <w:jc w:val="left"/>
            </w:pPr>
            <w:r>
              <w:rPr/>
              <w:t>Integration budget</w:t>
            </w:r>
          </w:p>
        </w:tc>
        <w:tc>
          <w:tcPr>
            <w:tcW w:type="dxa" w:w="4320"/>
          </w:tcPr>
          <w:p>
            <w:pPr>
              <w:jc w:val="left"/>
            </w:pPr>
            <w:r>
              <w:rPr/>
              <w:t>£3.1m for 2027, held by the CFO</w:t>
            </w:r>
          </w:p>
        </w:tc>
      </w:tr>
    </w:tbl>
    <w:p/>
    <w:p>
      <w:pPr>
        <w:pStyle w:val="Heading2"/>
      </w:pPr>
      <w:r>
        <w:rPr/>
        <w:t>1. Principles</w:t>
      </w:r>
    </w:p>
    <w:p>
      <w:pPr>
        <w:pStyle w:val="ListBullet"/>
      </w:pPr>
      <w:r>
        <w:rPr/>
        <w:t>Lumen keeps its product name, its Lisbon and Porto teams and its customer contracts for at least 12 months.</w:t>
      </w:r>
    </w:p>
    <w:p>
      <w:pPr>
        <w:pStyle w:val="ListBullet"/>
      </w:pPr>
      <w:r>
        <w:rPr/>
        <w:t>Customers see no change on Day 1 apart from a letter.</w:t>
      </w:r>
    </w:p>
    <w:p>
      <w:pPr>
        <w:pStyle w:val="ListBullet"/>
      </w:pPr>
      <w:r>
        <w:rPr/>
        <w:t>Lumen moves to Kestrel's finance, legal, security and people policies by Day 100.</w:t>
      </w:r>
    </w:p>
    <w:p>
      <w:pPr>
        <w:pStyle w:val="ListBullet"/>
      </w:pPr>
      <w:r>
        <w:rPr/>
        <w:t>One budget and one steering group. Workstreams do not spend outside the integration budget without the CFO's approval.</w:t>
      </w:r>
    </w:p>
    <w:p>
      <w:pPr>
        <w:pStyle w:val="Heading2"/>
      </w:pPr>
      <w:r>
        <w:rPr/>
        <w:t>2. Governance</w:t>
      </w:r>
    </w:p>
    <w:p>
      <w:pPr>
        <w:pStyle w:val="ListBullet"/>
      </w:pPr>
      <w:r>
        <w:rPr/>
        <w:t>The integration steering group meets every Monday at 09:00 from 7 December 2026: Daniel Reyes (chair), Amara Okafor, Priya Nair, Helen Marsh and Inês Carvalho.</w:t>
      </w:r>
    </w:p>
    <w:p>
      <w:pPr>
        <w:pStyle w:val="ListBullet"/>
      </w:pPr>
      <w:r>
        <w:rPr/>
        <w:t>Workstream leads send a red, amber or green status to Daniel Reyes every Friday by 15:00.</w:t>
      </w:r>
    </w:p>
    <w:p>
      <w:pPr>
        <w:pStyle w:val="ListBullet"/>
      </w:pPr>
      <w:r>
        <w:rPr/>
        <w:t>People outside the insider list are briefed only after signing on 23 October: Marco Bianchi (People), Jonas Berg (FP&amp;A), Lena Fischer (Security), Jake Morrison (Sales) and Sofia Lindqvist (Compliance).</w:t>
      </w:r>
    </w:p>
    <w:p>
      <w:pPr>
        <w:pStyle w:val="Heading2"/>
      </w:pPr>
      <w:r>
        <w:rPr/>
        <w:t>3. Workstreams</w:t>
      </w:r>
    </w:p>
    <w:tbl>
      <w:tblPr>
        <w:tblStyle w:val="TableGrid"/>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pPr>
              <w:jc w:val="left"/>
            </w:pPr>
            <w:r>
              <w:rPr>
                <w:b/>
              </w:rPr>
              <w:t>Workstream</w:t>
            </w:r>
          </w:p>
        </w:tc>
        <w:tc>
          <w:tcPr>
            <w:tcW w:type="dxa" w:w="1728"/>
          </w:tcPr>
          <w:p>
            <w:pPr>
              <w:jc w:val="left"/>
            </w:pPr>
            <w:r>
              <w:rPr>
                <w:b/>
              </w:rPr>
              <w:t>Lead</w:t>
            </w:r>
          </w:p>
        </w:tc>
        <w:tc>
          <w:tcPr>
            <w:tcW w:type="dxa" w:w="1728"/>
          </w:tcPr>
          <w:p>
            <w:pPr>
              <w:jc w:val="left"/>
            </w:pPr>
            <w:r>
              <w:rPr>
                <w:b/>
              </w:rPr>
              <w:t>By Day 1</w:t>
            </w:r>
          </w:p>
        </w:tc>
        <w:tc>
          <w:tcPr>
            <w:tcW w:type="dxa" w:w="1728"/>
          </w:tcPr>
          <w:p>
            <w:pPr>
              <w:jc w:val="left"/>
            </w:pPr>
            <w:r>
              <w:rPr>
                <w:b/>
              </w:rPr>
              <w:t>By Day 30</w:t>
            </w:r>
          </w:p>
        </w:tc>
        <w:tc>
          <w:tcPr>
            <w:tcW w:type="dxa" w:w="1728"/>
          </w:tcPr>
          <w:p>
            <w:pPr>
              <w:jc w:val="left"/>
            </w:pPr>
            <w:r>
              <w:rPr>
                <w:b/>
              </w:rPr>
              <w:t>By Day 100</w:t>
            </w:r>
          </w:p>
        </w:tc>
      </w:tr>
      <w:tr>
        <w:tc>
          <w:tcPr>
            <w:tcW w:type="dxa" w:w="1728"/>
          </w:tcPr>
          <w:p>
            <w:pPr>
              <w:jc w:val="left"/>
            </w:pPr>
            <w:r>
              <w:rPr/>
              <w:t>Finance</w:t>
            </w:r>
          </w:p>
        </w:tc>
        <w:tc>
          <w:tcPr>
            <w:tcW w:type="dxa" w:w="1728"/>
          </w:tcPr>
          <w:p>
            <w:pPr>
              <w:jc w:val="left"/>
            </w:pPr>
            <w:r>
              <w:rPr/>
              <w:t>Tom Whitfield</w:t>
            </w:r>
          </w:p>
        </w:tc>
        <w:tc>
          <w:tcPr>
            <w:tcW w:type="dxa" w:w="1728"/>
          </w:tcPr>
          <w:p>
            <w:pPr>
              <w:jc w:val="left"/>
            </w:pPr>
            <w:r>
              <w:rPr/>
              <w:t>Bank mandates changed; Kestrel signatories added</w:t>
            </w:r>
          </w:p>
        </w:tc>
        <w:tc>
          <w:tcPr>
            <w:tcW w:type="dxa" w:w="1728"/>
          </w:tcPr>
          <w:p>
            <w:pPr>
              <w:jc w:val="left"/>
            </w:pPr>
            <w:r>
              <w:rPr/>
              <w:t>Lumen's November trial balance mapped to the Kestrel chart of accounts</w:t>
            </w:r>
          </w:p>
        </w:tc>
        <w:tc>
          <w:tcPr>
            <w:tcW w:type="dxa" w:w="1728"/>
          </w:tcPr>
          <w:p>
            <w:pPr>
              <w:jc w:val="left"/>
            </w:pPr>
            <w:r>
              <w:rPr/>
              <w:t>Lumen on the Kestrel chart of accounts; group reporting under FRS 102</w:t>
            </w:r>
          </w:p>
        </w:tc>
      </w:tr>
      <w:tr>
        <w:tc>
          <w:tcPr>
            <w:tcW w:type="dxa" w:w="1728"/>
          </w:tcPr>
          <w:p>
            <w:pPr>
              <w:jc w:val="left"/>
            </w:pPr>
            <w:r>
              <w:rPr/>
              <w:t>Legal and regulatory</w:t>
            </w:r>
          </w:p>
        </w:tc>
        <w:tc>
          <w:tcPr>
            <w:tcW w:type="dxa" w:w="1728"/>
          </w:tcPr>
          <w:p>
            <w:pPr>
              <w:jc w:val="left"/>
            </w:pPr>
            <w:r>
              <w:rPr/>
              <w:t>Helen Marsh</w:t>
            </w:r>
          </w:p>
        </w:tc>
        <w:tc>
          <w:tcPr>
            <w:tcW w:type="dxa" w:w="1728"/>
          </w:tcPr>
          <w:p>
            <w:pPr>
              <w:jc w:val="left"/>
            </w:pPr>
            <w:r>
              <w:rPr/>
              <w:t>FCA close-link notice drafted</w:t>
            </w:r>
          </w:p>
        </w:tc>
        <w:tc>
          <w:tcPr>
            <w:tcW w:type="dxa" w:w="1728"/>
          </w:tcPr>
          <w:p>
            <w:pPr>
              <w:jc w:val="left"/>
            </w:pPr>
            <w:r>
              <w:rPr/>
              <w:t>Notice filed (deadline 15 December); Lumen board reconstituted</w:t>
            </w:r>
          </w:p>
        </w:tc>
        <w:tc>
          <w:tcPr>
            <w:tcW w:type="dxa" w:w="1728"/>
          </w:tcPr>
          <w:p>
            <w:pPr>
              <w:jc w:val="left"/>
            </w:pPr>
            <w:r>
              <w:rPr/>
              <w:t>Change-of-control contracts settled; policies aligned</w:t>
            </w:r>
          </w:p>
        </w:tc>
      </w:tr>
      <w:tr>
        <w:tc>
          <w:tcPr>
            <w:tcW w:type="dxa" w:w="1728"/>
          </w:tcPr>
          <w:p>
            <w:pPr>
              <w:jc w:val="left"/>
            </w:pPr>
            <w:r>
              <w:rPr/>
              <w:t>Product and technology</w:t>
            </w:r>
          </w:p>
        </w:tc>
        <w:tc>
          <w:tcPr>
            <w:tcW w:type="dxa" w:w="1728"/>
          </w:tcPr>
          <w:p>
            <w:pPr>
              <w:jc w:val="left"/>
            </w:pPr>
            <w:r>
              <w:rPr/>
              <w:t>Priya Nair</w:t>
            </w:r>
          </w:p>
        </w:tc>
        <w:tc>
          <w:tcPr>
            <w:tcW w:type="dxa" w:w="1728"/>
          </w:tcPr>
          <w:p>
            <w:pPr>
              <w:jc w:val="left"/>
            </w:pPr>
            <w:r>
              <w:rPr/>
              <w:t>Single sign-on to Kestrel tools for Lumen staff</w:t>
            </w:r>
          </w:p>
        </w:tc>
        <w:tc>
          <w:tcPr>
            <w:tcW w:type="dxa" w:w="1728"/>
          </w:tcPr>
          <w:p>
            <w:pPr>
              <w:jc w:val="left"/>
            </w:pPr>
            <w:r>
              <w:rPr/>
              <w:t>Security review finished</w:t>
            </w:r>
          </w:p>
        </w:tc>
        <w:tc>
          <w:tcPr>
            <w:tcW w:type="dxa" w:w="1728"/>
          </w:tcPr>
          <w:p>
            <w:pPr>
              <w:jc w:val="left"/>
            </w:pPr>
            <w:r>
              <w:rPr/>
              <w:t>Hosting moved onto Kestrel's AWS estate, run by Ashgrove; bookkeeping add-on in beta inside Kestrel Accounts</w:t>
            </w:r>
          </w:p>
        </w:tc>
      </w:tr>
      <w:tr>
        <w:tc>
          <w:tcPr>
            <w:tcW w:type="dxa" w:w="1728"/>
          </w:tcPr>
          <w:p>
            <w:pPr>
              <w:jc w:val="left"/>
            </w:pPr>
            <w:r>
              <w:rPr/>
              <w:t>People</w:t>
            </w:r>
          </w:p>
        </w:tc>
        <w:tc>
          <w:tcPr>
            <w:tcW w:type="dxa" w:w="1728"/>
          </w:tcPr>
          <w:p>
            <w:pPr>
              <w:jc w:val="left"/>
            </w:pPr>
            <w:r>
              <w:rPr/>
              <w:t>Marco Bianchi (from 23 October)</w:t>
            </w:r>
          </w:p>
        </w:tc>
        <w:tc>
          <w:tcPr>
            <w:tcW w:type="dxa" w:w="1728"/>
          </w:tcPr>
          <w:p>
            <w:pPr>
              <w:jc w:val="left"/>
            </w:pPr>
            <w:r>
              <w:rPr/>
              <w:t>Retention letters for the 12 key staff</w:t>
            </w:r>
          </w:p>
        </w:tc>
        <w:tc>
          <w:tcPr>
            <w:tcW w:type="dxa" w:w="1728"/>
          </w:tcPr>
          <w:p>
            <w:pPr>
              <w:jc w:val="left"/>
            </w:pPr>
            <w:r>
              <w:rPr/>
              <w:t>Payroll and benefits mapped</w:t>
            </w:r>
          </w:p>
        </w:tc>
        <w:tc>
          <w:tcPr>
            <w:tcW w:type="dxa" w:w="1728"/>
          </w:tcPr>
          <w:p>
            <w:pPr>
              <w:jc w:val="left"/>
            </w:pPr>
            <w:r>
              <w:rPr/>
              <w:t>Lisbon office plan agreed; Lumen joins the Kestrel review cycle</w:t>
            </w:r>
          </w:p>
        </w:tc>
      </w:tr>
      <w:tr>
        <w:tc>
          <w:tcPr>
            <w:tcW w:type="dxa" w:w="1728"/>
          </w:tcPr>
          <w:p>
            <w:pPr>
              <w:jc w:val="left"/>
            </w:pPr>
            <w:r>
              <w:rPr/>
              <w:t>Customers</w:t>
            </w:r>
          </w:p>
        </w:tc>
        <w:tc>
          <w:tcPr>
            <w:tcW w:type="dxa" w:w="1728"/>
          </w:tcPr>
          <w:p>
            <w:pPr>
              <w:jc w:val="left"/>
            </w:pPr>
            <w:r>
              <w:rPr/>
              <w:t>Jake Morrison (from 23 October)</w:t>
            </w:r>
          </w:p>
        </w:tc>
        <w:tc>
          <w:tcPr>
            <w:tcW w:type="dxa" w:w="1728"/>
          </w:tcPr>
          <w:p>
            <w:pPr>
              <w:jc w:val="left"/>
            </w:pPr>
            <w:r>
              <w:rPr/>
              <w:t>Customer letter in Portuguese and Spanish</w:t>
            </w:r>
          </w:p>
        </w:tc>
        <w:tc>
          <w:tcPr>
            <w:tcW w:type="dxa" w:w="1728"/>
          </w:tcPr>
          <w:p>
            <w:pPr>
              <w:jc w:val="left"/>
            </w:pPr>
            <w:r>
              <w:rPr/>
              <w:t>Calls with the top 50 Lumen customers</w:t>
            </w:r>
          </w:p>
        </w:tc>
        <w:tc>
          <w:tcPr>
            <w:tcW w:type="dxa" w:w="1728"/>
          </w:tcPr>
          <w:p>
            <w:pPr>
              <w:jc w:val="left"/>
            </w:pPr>
            <w:r>
              <w:rPr/>
              <w:t>Cross-sell pilot with 500 Lumen customers</w:t>
            </w:r>
          </w:p>
        </w:tc>
      </w:tr>
    </w:tbl>
    <w:p/>
    <w:p>
      <w:r>
        <w:br w:type="page"/>
      </w:r>
    </w:p>
    <w:p>
      <w:pPr>
        <w:pStyle w:val="Heading2"/>
      </w:pPr>
      <w:r>
        <w:rPr/>
        <w:t>4. Finance workstream (Tom Whitfield)</w:t>
      </w:r>
    </w:p>
    <w:p>
      <w:pPr>
        <w:pStyle w:val="ListNumber"/>
        <w:numPr>
          <w:ilvl w:val="0"/>
          <w:numId w:val="10"/>
        </w:numPr>
      </w:pPr>
      <w:r>
        <w:rPr>
          <w:b/>
        </w:rPr>
        <w:t>Completion accounts.</w:t>
      </w:r>
      <w:r>
        <w:rPr/>
        <w:t xml:space="preserve"> Hartwell Moss prepares the completion balance sheet as at 30 November 2026. Buyer and sellers must agree it within 60 days, so by 29 January 2027. Any cash or debt adjustment is settled within 10 working days after that.</w:t>
      </w:r>
    </w:p>
    <w:p>
      <w:pPr>
        <w:pStyle w:val="ListNumber"/>
        <w:numPr>
          <w:ilvl w:val="0"/>
          <w:numId w:val="10"/>
        </w:numPr>
      </w:pPr>
      <w:r>
        <w:rPr>
          <w:b/>
        </w:rPr>
        <w:t>Purchase price allocation.</w:t>
      </w:r>
      <w:r>
        <w:rPr/>
        <w:t xml:space="preserve"> Hartwell Moss delivers it by 28 February 2027. Working estimates: cost of the business combination £83.9m (cash £54.0m, consideration shares £20.0m, earn-out at an estimated fair value of £8.5m, deal costs £1.4m); intangible assets about £19m (customer relationships and software); goodwill about £61m. We propose to amortise goodwill over 10 years, about £6.1m a year.</w:t>
      </w:r>
    </w:p>
    <w:p>
      <w:pPr>
        <w:pStyle w:val="ListNumber"/>
        <w:numPr>
          <w:ilvl w:val="0"/>
          <w:numId w:val="10"/>
        </w:numPr>
      </w:pPr>
      <w:r>
        <w:rPr>
          <w:b/>
        </w:rPr>
        <w:t>Earn-out.</w:t>
      </w:r>
      <w:r>
        <w:rPr/>
        <w:t xml:space="preserve"> Track Lumen ARR each month from January 2027, using the SPA definition (no contracts under 12 months, no discounts above 20%). Report it to the steering group monthly. Reassess the earn-out's fair value at each year end. The measurement date is 31 December 2027 and any payment falls in Q2 2028.</w:t>
      </w:r>
    </w:p>
    <w:p>
      <w:pPr>
        <w:pStyle w:val="ListNumber"/>
        <w:numPr>
          <w:ilvl w:val="0"/>
          <w:numId w:val="10"/>
        </w:numPr>
      </w:pPr>
      <w:r>
        <w:rPr>
          <w:b/>
        </w:rPr>
        <w:t>Consolidation.</w:t>
      </w:r>
      <w:r>
        <w:rPr/>
        <w:t xml:space="preserve"> Lumen Ledger, Lda becomes a subsidiary of Kestrel Pay Ltd. It keeps its Portuguese statutory accounts under SNC; we map its trial balance to the Kestrel chart of accounts each month. The first consolidated month is December 2026. Balance sheet items translate at the month-end EUR rate and the income statement at the monthly average.</w:t>
      </w:r>
    </w:p>
    <w:p>
      <w:pPr>
        <w:pStyle w:val="ListNumber"/>
        <w:numPr>
          <w:ilvl w:val="0"/>
          <w:numId w:val="10"/>
        </w:numPr>
      </w:pPr>
      <w:r>
        <w:rPr>
          <w:b/>
        </w:rPr>
        <w:t>Close.</w:t>
      </w:r>
      <w:r>
        <w:rPr/>
        <w:t xml:space="preserve"> Lumen's outsourced accountant, Contabilidade Tejo, Lda, delivers the trial balance by WD4. From the December 2026 close, which runs in early January 2027, Lumen sits on WD5 of the Kestrel close calendar.</w:t>
      </w:r>
    </w:p>
    <w:p>
      <w:pPr>
        <w:pStyle w:val="ListNumber"/>
        <w:numPr>
          <w:ilvl w:val="0"/>
          <w:numId w:val="10"/>
        </w:numPr>
      </w:pPr>
      <w:r>
        <w:rPr>
          <w:b/>
        </w:rPr>
        <w:t>Banking.</w:t>
      </w:r>
      <w:r>
        <w:rPr/>
        <w:t xml:space="preserve"> Lumen's accounts at Banco Ondina stay open for at least 6 months. On Day 1 Tom Whitfield and Daniel Reyes become signatories; Inês Carvalho stays a signatory up to €25,000 a payment.</w:t>
      </w:r>
    </w:p>
    <w:p>
      <w:pPr>
        <w:pStyle w:val="ListNumber"/>
        <w:numPr>
          <w:ilvl w:val="0"/>
          <w:numId w:val="10"/>
        </w:numPr>
      </w:pPr>
      <w:r>
        <w:rPr>
          <w:b/>
        </w:rPr>
        <w:t>Facility.</w:t>
      </w:r>
      <w:r>
        <w:rPr/>
        <w:t xml:space="preserve"> The £30m Tamar Bank term loan is drawn on Day 1 at 08:00. Covenants are a minimum cash balance of £25m at all times and net leverage below 3.0 times, tested quarterly from 31 March 2027. Tom Whitfield prepares the compliance certificates.</w:t>
      </w:r>
    </w:p>
    <w:p>
      <w:pPr>
        <w:pStyle w:val="ListNumber"/>
        <w:numPr>
          <w:ilvl w:val="0"/>
          <w:numId w:val="10"/>
        </w:numPr>
      </w:pPr>
      <w:r>
        <w:rPr>
          <w:b/>
        </w:rPr>
        <w:t>Payroll.</w:t>
      </w:r>
      <w:r>
        <w:rPr/>
        <w:t xml:space="preserve"> Lumen stays on its own Portuguese payroll provider until 30 June 2027.</w:t>
      </w:r>
    </w:p>
    <w:p>
      <w:pPr>
        <w:pStyle w:val="ListNumber"/>
        <w:numPr>
          <w:ilvl w:val="0"/>
          <w:numId w:val="10"/>
        </w:numPr>
      </w:pPr>
      <w:r>
        <w:rPr>
          <w:b/>
        </w:rPr>
        <w:t>Intercompany.</w:t>
      </w:r>
      <w:r>
        <w:rPr/>
        <w:t xml:space="preserve"> A services agreement between Kestrel Pay Ltd and Lumen starts on 1 January 2027 to recharge hosting and shared staff.</w:t>
      </w:r>
    </w:p>
    <w:p>
      <w:pPr>
        <w:pStyle w:val="ListNumber"/>
        <w:numPr>
          <w:ilvl w:val="0"/>
          <w:numId w:val="10"/>
        </w:numPr>
      </w:pPr>
      <w:r>
        <w:rPr>
          <w:b/>
        </w:rPr>
        <w:t>Tax.</w:t>
      </w:r>
      <w:r>
        <w:rPr/>
        <w:t xml:space="preserve"> Lumen has €14.2m of tax losses carried forward. Portuguese rules can restrict their use after a change of ownership; Hartwell Moss will advise by Day 30.</w:t>
      </w:r>
    </w:p>
    <w:p>
      <w:pPr>
        <w:pStyle w:val="ListNumber"/>
        <w:numPr>
          <w:ilvl w:val="0"/>
          <w:numId w:val="10"/>
        </w:numPr>
      </w:pPr>
      <w:r>
        <w:rPr>
          <w:b/>
        </w:rPr>
        <w:t>Budget.</w:t>
      </w:r>
      <w:r>
        <w:rPr/>
        <w:t xml:space="preserve"> Jonas Berg adds Lumen to the FY2027 budget for the full year 2027 before it goes to the board on 9 December 2026.</w:t>
      </w:r>
    </w:p>
    <w:p>
      <w:pPr>
        <w:pStyle w:val="Heading2"/>
      </w:pPr>
      <w:r>
        <w:rPr/>
        <w:t>5. Day 1 run sheet (Tuesday 1 December 2026, UK and Lisbon time are the same)</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pPr>
              <w:jc w:val="left"/>
            </w:pPr>
            <w:r>
              <w:rPr>
                <w:b/>
              </w:rPr>
              <w:t>Time</w:t>
            </w:r>
          </w:p>
        </w:tc>
        <w:tc>
          <w:tcPr>
            <w:tcW w:type="dxa" w:w="2880"/>
          </w:tcPr>
          <w:p>
            <w:pPr>
              <w:jc w:val="left"/>
            </w:pPr>
            <w:r>
              <w:rPr>
                <w:b/>
              </w:rPr>
              <w:t>Step</w:t>
            </w:r>
          </w:p>
        </w:tc>
        <w:tc>
          <w:tcPr>
            <w:tcW w:type="dxa" w:w="2880"/>
          </w:tcPr>
          <w:p>
            <w:pPr>
              <w:jc w:val="left"/>
            </w:pPr>
            <w:r>
              <w:rPr>
                <w:b/>
              </w:rPr>
              <w:t>Owner</w:t>
            </w:r>
          </w:p>
        </w:tc>
      </w:tr>
      <w:tr>
        <w:tc>
          <w:tcPr>
            <w:tcW w:type="dxa" w:w="2880"/>
          </w:tcPr>
          <w:p>
            <w:pPr>
              <w:jc w:val="left"/>
            </w:pPr>
            <w:r>
              <w:rPr/>
              <w:t>08:00</w:t>
            </w:r>
          </w:p>
        </w:tc>
        <w:tc>
          <w:tcPr>
            <w:tcW w:type="dxa" w:w="2880"/>
          </w:tcPr>
          <w:p>
            <w:pPr>
              <w:jc w:val="left"/>
            </w:pPr>
            <w:r>
              <w:rPr/>
              <w:t>Tamar Bank facility drawn (£30m)</w:t>
            </w:r>
          </w:p>
        </w:tc>
        <w:tc>
          <w:tcPr>
            <w:tcW w:type="dxa" w:w="2880"/>
          </w:tcPr>
          <w:p>
            <w:pPr>
              <w:jc w:val="left"/>
            </w:pPr>
            <w:r>
              <w:rPr/>
              <w:t>Tom Whitfield</w:t>
            </w:r>
          </w:p>
        </w:tc>
      </w:tr>
      <w:tr>
        <w:tc>
          <w:tcPr>
            <w:tcW w:type="dxa" w:w="2880"/>
          </w:tcPr>
          <w:p>
            <w:pPr>
              <w:jc w:val="left"/>
            </w:pPr>
            <w:r>
              <w:rPr/>
              <w:t>09:00</w:t>
            </w:r>
          </w:p>
        </w:tc>
        <w:tc>
          <w:tcPr>
            <w:tcW w:type="dxa" w:w="2880"/>
          </w:tcPr>
          <w:p>
            <w:pPr>
              <w:jc w:val="left"/>
            </w:pPr>
            <w:r>
              <w:rPr/>
              <w:t>Completion call with sellers' counsel; documents released</w:t>
            </w:r>
          </w:p>
        </w:tc>
        <w:tc>
          <w:tcPr>
            <w:tcW w:type="dxa" w:w="2880"/>
          </w:tcPr>
          <w:p>
            <w:pPr>
              <w:jc w:val="left"/>
            </w:pPr>
            <w:r>
              <w:rPr/>
              <w:t>Helen Marsh</w:t>
            </w:r>
          </w:p>
        </w:tc>
      </w:tr>
      <w:tr>
        <w:tc>
          <w:tcPr>
            <w:tcW w:type="dxa" w:w="2880"/>
          </w:tcPr>
          <w:p>
            <w:pPr>
              <w:jc w:val="left"/>
            </w:pPr>
            <w:r>
              <w:rPr/>
              <w:t>10:00</w:t>
            </w:r>
          </w:p>
        </w:tc>
        <w:tc>
          <w:tcPr>
            <w:tcW w:type="dxa" w:w="2880"/>
          </w:tcPr>
          <w:p>
            <w:pPr>
              <w:jc w:val="left"/>
            </w:pPr>
            <w:r>
              <w:rPr/>
              <w:t>Completion payment sent: £54m less the €1.5m escrow</w:t>
            </w:r>
          </w:p>
        </w:tc>
        <w:tc>
          <w:tcPr>
            <w:tcW w:type="dxa" w:w="2880"/>
          </w:tcPr>
          <w:p>
            <w:pPr>
              <w:jc w:val="left"/>
            </w:pPr>
            <w:r>
              <w:rPr/>
              <w:t>Daniel Reyes and Tom Whitfield</w:t>
            </w:r>
          </w:p>
        </w:tc>
      </w:tr>
      <w:tr>
        <w:tc>
          <w:tcPr>
            <w:tcW w:type="dxa" w:w="2880"/>
          </w:tcPr>
          <w:p>
            <w:pPr>
              <w:jc w:val="left"/>
            </w:pPr>
            <w:r>
              <w:rPr/>
              <w:t>11:00</w:t>
            </w:r>
          </w:p>
        </w:tc>
        <w:tc>
          <w:tcPr>
            <w:tcW w:type="dxa" w:w="2880"/>
          </w:tcPr>
          <w:p>
            <w:pPr>
              <w:jc w:val="left"/>
            </w:pPr>
            <w:r>
              <w:rPr/>
              <w:t>Staff announcement in Lisbon (Amara Okafor and Inês Carvalho); all-hands email at Kestrel</w:t>
            </w:r>
          </w:p>
        </w:tc>
        <w:tc>
          <w:tcPr>
            <w:tcW w:type="dxa" w:w="2880"/>
          </w:tcPr>
          <w:p>
            <w:pPr>
              <w:jc w:val="left"/>
            </w:pPr>
            <w:r>
              <w:rPr/>
              <w:t>Amara Okafor</w:t>
            </w:r>
          </w:p>
        </w:tc>
      </w:tr>
      <w:tr>
        <w:tc>
          <w:tcPr>
            <w:tcW w:type="dxa" w:w="2880"/>
          </w:tcPr>
          <w:p>
            <w:pPr>
              <w:jc w:val="left"/>
            </w:pPr>
            <w:r>
              <w:rPr/>
              <w:t>12:00</w:t>
            </w:r>
          </w:p>
        </w:tc>
        <w:tc>
          <w:tcPr>
            <w:tcW w:type="dxa" w:w="2880"/>
          </w:tcPr>
          <w:p>
            <w:pPr>
              <w:jc w:val="left"/>
            </w:pPr>
            <w:r>
              <w:rPr/>
              <w:t>Customer letters sent</w:t>
            </w:r>
          </w:p>
        </w:tc>
        <w:tc>
          <w:tcPr>
            <w:tcW w:type="dxa" w:w="2880"/>
          </w:tcPr>
          <w:p>
            <w:pPr>
              <w:jc w:val="left"/>
            </w:pPr>
            <w:r>
              <w:rPr/>
              <w:t>Jake Morrison</w:t>
            </w:r>
          </w:p>
        </w:tc>
      </w:tr>
      <w:tr>
        <w:tc>
          <w:tcPr>
            <w:tcW w:type="dxa" w:w="2880"/>
          </w:tcPr>
          <w:p>
            <w:pPr>
              <w:jc w:val="left"/>
            </w:pPr>
            <w:r>
              <w:rPr/>
              <w:t>14:00</w:t>
            </w:r>
          </w:p>
        </w:tc>
        <w:tc>
          <w:tcPr>
            <w:tcW w:type="dxa" w:w="2880"/>
          </w:tcPr>
          <w:p>
            <w:pPr>
              <w:jc w:val="left"/>
            </w:pPr>
            <w:r>
              <w:rPr/>
              <w:t>Press release</w:t>
            </w:r>
          </w:p>
        </w:tc>
        <w:tc>
          <w:tcPr>
            <w:tcW w:type="dxa" w:w="2880"/>
          </w:tcPr>
          <w:p>
            <w:pPr>
              <w:jc w:val="left"/>
            </w:pPr>
            <w:r>
              <w:rPr/>
              <w:t>Amara Okafor</w:t>
            </w:r>
          </w:p>
        </w:tc>
      </w:tr>
      <w:tr>
        <w:tc>
          <w:tcPr>
            <w:tcW w:type="dxa" w:w="2880"/>
          </w:tcPr>
          <w:p>
            <w:pPr>
              <w:jc w:val="left"/>
            </w:pPr>
            <w:r>
              <w:rPr/>
              <w:t>17:00</w:t>
            </w:r>
          </w:p>
        </w:tc>
        <w:tc>
          <w:tcPr>
            <w:tcW w:type="dxa" w:w="2880"/>
          </w:tcPr>
          <w:p>
            <w:pPr>
              <w:jc w:val="left"/>
            </w:pPr>
            <w:r>
              <w:rPr/>
              <w:t>Insider list closed; deal room archived</w:t>
            </w:r>
          </w:p>
        </w:tc>
        <w:tc>
          <w:tcPr>
            <w:tcW w:type="dxa" w:w="2880"/>
          </w:tcPr>
          <w:p>
            <w:pPr>
              <w:jc w:val="left"/>
            </w:pPr>
            <w:r>
              <w:rPr/>
              <w:t>Helen Marsh</w:t>
            </w:r>
          </w:p>
        </w:tc>
      </w:tr>
    </w:tbl>
    <w:p/>
    <w:p>
      <w:pPr>
        <w:pStyle w:val="Heading2"/>
      </w:pPr>
      <w:r>
        <w:rPr/>
        <w:t>6. Key dates</w:t>
      </w:r>
    </w:p>
    <w:tbl>
      <w:tblPr>
        <w:tblStyle w:val="TableGrid"/>
        <w:tblW w:type="auto" w:w="0"/>
        <w:tblLook w:firstColumn="1" w:firstRow="1" w:lastColumn="0" w:lastRow="0" w:noHBand="0" w:noVBand="1" w:val="04A0"/>
      </w:tblPr>
      <w:tblGrid>
        <w:gridCol w:w="4320"/>
        <w:gridCol w:w="4320"/>
      </w:tblGrid>
      <w:tr>
        <w:trPr>
          <w:tblHeader/>
        </w:trPr>
        <w:tc>
          <w:tcPr>
            <w:tcW w:type="dxa" w:w="4320"/>
          </w:tcPr>
          <w:p>
            <w:pPr>
              <w:jc w:val="left"/>
            </w:pPr>
            <w:r>
              <w:rPr>
                <w:b/>
              </w:rPr>
              <w:t>Date</w:t>
            </w:r>
          </w:p>
        </w:tc>
        <w:tc>
          <w:tcPr>
            <w:tcW w:type="dxa" w:w="4320"/>
          </w:tcPr>
          <w:p>
            <w:pPr>
              <w:jc w:val="left"/>
            </w:pPr>
            <w:r>
              <w:rPr>
                <w:b/>
              </w:rPr>
              <w:t>Milestone</w:t>
            </w:r>
          </w:p>
        </w:tc>
      </w:tr>
      <w:tr>
        <w:tc>
          <w:tcPr>
            <w:tcW w:type="dxa" w:w="4320"/>
          </w:tcPr>
          <w:p>
            <w:pPr>
              <w:jc w:val="left"/>
            </w:pPr>
            <w:r>
              <w:rPr/>
              <w:t>20 October 2026</w:t>
            </w:r>
          </w:p>
        </w:tc>
        <w:tc>
          <w:tcPr>
            <w:tcW w:type="dxa" w:w="4320"/>
          </w:tcPr>
          <w:p>
            <w:pPr>
              <w:jc w:val="left"/>
            </w:pPr>
            <w:r>
              <w:rPr/>
              <w:t>Board vote</w:t>
            </w:r>
          </w:p>
        </w:tc>
      </w:tr>
      <w:tr>
        <w:tc>
          <w:tcPr>
            <w:tcW w:type="dxa" w:w="4320"/>
          </w:tcPr>
          <w:p>
            <w:pPr>
              <w:jc w:val="left"/>
            </w:pPr>
            <w:r>
              <w:rPr/>
              <w:t>23 October 2026</w:t>
            </w:r>
          </w:p>
        </w:tc>
        <w:tc>
          <w:tcPr>
            <w:tcW w:type="dxa" w:w="4320"/>
          </w:tcPr>
          <w:p>
            <w:pPr>
              <w:jc w:val="left"/>
            </w:pPr>
            <w:r>
              <w:rPr/>
              <w:t>Signing; W&amp;I insurance bound; founders sign service agreements</w:t>
            </w:r>
          </w:p>
        </w:tc>
      </w:tr>
      <w:tr>
        <w:tc>
          <w:tcPr>
            <w:tcW w:type="dxa" w:w="4320"/>
          </w:tcPr>
          <w:p>
            <w:pPr>
              <w:jc w:val="left"/>
            </w:pPr>
            <w:r>
              <w:rPr/>
              <w:t>30 November 2026</w:t>
            </w:r>
          </w:p>
        </w:tc>
        <w:tc>
          <w:tcPr>
            <w:tcW w:type="dxa" w:w="4320"/>
          </w:tcPr>
          <w:p>
            <w:pPr>
              <w:jc w:val="left"/>
            </w:pPr>
            <w:r>
              <w:rPr/>
              <w:t>Completion accounts date</w:t>
            </w:r>
          </w:p>
        </w:tc>
      </w:tr>
      <w:tr>
        <w:tc>
          <w:tcPr>
            <w:tcW w:type="dxa" w:w="4320"/>
          </w:tcPr>
          <w:p>
            <w:pPr>
              <w:jc w:val="left"/>
            </w:pPr>
            <w:r>
              <w:rPr/>
              <w:t>1 December 2026</w:t>
            </w:r>
          </w:p>
        </w:tc>
        <w:tc>
          <w:tcPr>
            <w:tcW w:type="dxa" w:w="4320"/>
          </w:tcPr>
          <w:p>
            <w:pPr>
              <w:jc w:val="left"/>
            </w:pPr>
            <w:r>
              <w:rPr/>
              <w:t>Completion (Day 1)</w:t>
            </w:r>
          </w:p>
        </w:tc>
      </w:tr>
      <w:tr>
        <w:tc>
          <w:tcPr>
            <w:tcW w:type="dxa" w:w="4320"/>
          </w:tcPr>
          <w:p>
            <w:pPr>
              <w:jc w:val="left"/>
            </w:pPr>
            <w:r>
              <w:rPr/>
              <w:t>9 December 2026</w:t>
            </w:r>
          </w:p>
        </w:tc>
        <w:tc>
          <w:tcPr>
            <w:tcW w:type="dxa" w:w="4320"/>
          </w:tcPr>
          <w:p>
            <w:pPr>
              <w:jc w:val="left"/>
            </w:pPr>
            <w:r>
              <w:rPr/>
              <w:t>FY2027 budget, including Lumen, to the board</w:t>
            </w:r>
          </w:p>
        </w:tc>
      </w:tr>
      <w:tr>
        <w:tc>
          <w:tcPr>
            <w:tcW w:type="dxa" w:w="4320"/>
          </w:tcPr>
          <w:p>
            <w:pPr>
              <w:jc w:val="left"/>
            </w:pPr>
            <w:r>
              <w:rPr/>
              <w:t>15 December 2026</w:t>
            </w:r>
          </w:p>
        </w:tc>
        <w:tc>
          <w:tcPr>
            <w:tcW w:type="dxa" w:w="4320"/>
          </w:tcPr>
          <w:p>
            <w:pPr>
              <w:jc w:val="left"/>
            </w:pPr>
            <w:r>
              <w:rPr/>
              <w:t>Deadline for the FCA close-link notice</w:t>
            </w:r>
          </w:p>
        </w:tc>
      </w:tr>
      <w:tr>
        <w:tc>
          <w:tcPr>
            <w:tcW w:type="dxa" w:w="4320"/>
          </w:tcPr>
          <w:p>
            <w:pPr>
              <w:jc w:val="left"/>
            </w:pPr>
            <w:r>
              <w:rPr/>
              <w:t>29 January 2027</w:t>
            </w:r>
          </w:p>
        </w:tc>
        <w:tc>
          <w:tcPr>
            <w:tcW w:type="dxa" w:w="4320"/>
          </w:tcPr>
          <w:p>
            <w:pPr>
              <w:jc w:val="left"/>
            </w:pPr>
            <w:r>
              <w:rPr/>
              <w:t>Completion accounts agreed</w:t>
            </w:r>
          </w:p>
        </w:tc>
      </w:tr>
      <w:tr>
        <w:tc>
          <w:tcPr>
            <w:tcW w:type="dxa" w:w="4320"/>
          </w:tcPr>
          <w:p>
            <w:pPr>
              <w:jc w:val="left"/>
            </w:pPr>
            <w:r>
              <w:rPr/>
              <w:t>28 February 2027</w:t>
            </w:r>
          </w:p>
        </w:tc>
        <w:tc>
          <w:tcPr>
            <w:tcW w:type="dxa" w:w="4320"/>
          </w:tcPr>
          <w:p>
            <w:pPr>
              <w:jc w:val="left"/>
            </w:pPr>
            <w:r>
              <w:rPr/>
              <w:t>Purchase price allocation delivered</w:t>
            </w:r>
          </w:p>
        </w:tc>
      </w:tr>
      <w:tr>
        <w:tc>
          <w:tcPr>
            <w:tcW w:type="dxa" w:w="4320"/>
          </w:tcPr>
          <w:p>
            <w:pPr>
              <w:jc w:val="left"/>
            </w:pPr>
            <w:r>
              <w:rPr/>
              <w:t>10 March 2027</w:t>
            </w:r>
          </w:p>
        </w:tc>
        <w:tc>
          <w:tcPr>
            <w:tcW w:type="dxa" w:w="4320"/>
          </w:tcPr>
          <w:p>
            <w:pPr>
              <w:jc w:val="left"/>
            </w:pPr>
            <w:r>
              <w:rPr/>
              <w:t>Day 100 review at the steering group</w:t>
            </w:r>
          </w:p>
        </w:tc>
      </w:tr>
      <w:tr>
        <w:tc>
          <w:tcPr>
            <w:tcW w:type="dxa" w:w="4320"/>
          </w:tcPr>
          <w:p>
            <w:pPr>
              <w:jc w:val="left"/>
            </w:pPr>
            <w:r>
              <w:rPr/>
              <w:t>30 June 2027</w:t>
            </w:r>
          </w:p>
        </w:tc>
        <w:tc>
          <w:tcPr>
            <w:tcW w:type="dxa" w:w="4320"/>
          </w:tcPr>
          <w:p>
            <w:pPr>
              <w:jc w:val="left"/>
            </w:pPr>
            <w:r>
              <w:rPr/>
              <w:t>Lumen payroll moves to the Kestrel provider</w:t>
            </w:r>
          </w:p>
        </w:tc>
      </w:tr>
      <w:tr>
        <w:tc>
          <w:tcPr>
            <w:tcW w:type="dxa" w:w="4320"/>
          </w:tcPr>
          <w:p>
            <w:pPr>
              <w:jc w:val="left"/>
            </w:pPr>
            <w:r>
              <w:rPr/>
              <w:t>31 December 2027</w:t>
            </w:r>
          </w:p>
        </w:tc>
        <w:tc>
          <w:tcPr>
            <w:tcW w:type="dxa" w:w="4320"/>
          </w:tcPr>
          <w:p>
            <w:pPr>
              <w:jc w:val="left"/>
            </w:pPr>
            <w:r>
              <w:rPr/>
              <w:t>Earn-out measurement date</w:t>
            </w:r>
          </w:p>
        </w:tc>
      </w:tr>
    </w:tbl>
    <w:p/>
    <w:p>
      <w:pPr>
        <w:pStyle w:val="Heading2"/>
      </w:pPr>
      <w:r>
        <w:rPr/>
        <w:t>7. Risks and open questions</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pPr>
              <w:jc w:val="left"/>
            </w:pPr>
            <w:r>
              <w:rPr>
                <w:b/>
              </w:rPr>
              <w:t>Risk or question</w:t>
            </w:r>
          </w:p>
        </w:tc>
        <w:tc>
          <w:tcPr>
            <w:tcW w:type="dxa" w:w="2880"/>
          </w:tcPr>
          <w:p>
            <w:pPr>
              <w:jc w:val="left"/>
            </w:pPr>
            <w:r>
              <w:rPr>
                <w:b/>
              </w:rPr>
              <w:t>Owner</w:t>
            </w:r>
          </w:p>
        </w:tc>
        <w:tc>
          <w:tcPr>
            <w:tcW w:type="dxa" w:w="2880"/>
          </w:tcPr>
          <w:p>
            <w:pPr>
              <w:jc w:val="left"/>
            </w:pPr>
            <w:r>
              <w:rPr>
                <w:b/>
              </w:rPr>
              <w:t>Response</w:t>
            </w:r>
          </w:p>
        </w:tc>
      </w:tr>
      <w:tr>
        <w:tc>
          <w:tcPr>
            <w:tcW w:type="dxa" w:w="2880"/>
          </w:tcPr>
          <w:p>
            <w:pPr>
              <w:jc w:val="left"/>
            </w:pPr>
            <w:r>
              <w:rPr/>
              <w:t>Key staff leave after the announcement</w:t>
            </w:r>
          </w:p>
        </w:tc>
        <w:tc>
          <w:tcPr>
            <w:tcW w:type="dxa" w:w="2880"/>
          </w:tcPr>
          <w:p>
            <w:pPr>
              <w:jc w:val="left"/>
            </w:pPr>
            <w:r>
              <w:rPr/>
              <w:t>Marco Bianchi</w:t>
            </w:r>
          </w:p>
        </w:tc>
        <w:tc>
          <w:tcPr>
            <w:tcW w:type="dxa" w:w="2880"/>
          </w:tcPr>
          <w:p>
            <w:pPr>
              <w:jc w:val="left"/>
            </w:pPr>
            <w:r>
              <w:rPr/>
              <w:t>Retention letters on Day 1; founders hold 1:1s with the 12 named staff that week</w:t>
            </w:r>
          </w:p>
        </w:tc>
      </w:tr>
      <w:tr>
        <w:tc>
          <w:tcPr>
            <w:tcW w:type="dxa" w:w="2880"/>
          </w:tcPr>
          <w:p>
            <w:pPr>
              <w:jc w:val="left"/>
            </w:pPr>
            <w:r>
              <w:rPr/>
              <w:t>Completion accounts dispute over working capital</w:t>
            </w:r>
          </w:p>
        </w:tc>
        <w:tc>
          <w:tcPr>
            <w:tcW w:type="dxa" w:w="2880"/>
          </w:tcPr>
          <w:p>
            <w:pPr>
              <w:jc w:val="left"/>
            </w:pPr>
            <w:r>
              <w:rPr/>
              <w:t>Tom Whitfield</w:t>
            </w:r>
          </w:p>
        </w:tc>
        <w:tc>
          <w:tcPr>
            <w:tcW w:type="dxa" w:w="2880"/>
          </w:tcPr>
          <w:p>
            <w:pPr>
              <w:jc w:val="left"/>
            </w:pPr>
            <w:r>
              <w:rPr/>
              <w:t>Agree the working capital peg (negative €0.6m) in the SPA; Hartwell Moss to model it before signing</w:t>
            </w:r>
          </w:p>
        </w:tc>
      </w:tr>
      <w:tr>
        <w:tc>
          <w:tcPr>
            <w:tcW w:type="dxa" w:w="2880"/>
          </w:tcPr>
          <w:p>
            <w:pPr>
              <w:jc w:val="left"/>
            </w:pPr>
            <w:r>
              <w:rPr/>
              <w:t>Lumen's single-region hosting fails before the move</w:t>
            </w:r>
          </w:p>
        </w:tc>
        <w:tc>
          <w:tcPr>
            <w:tcW w:type="dxa" w:w="2880"/>
          </w:tcPr>
          <w:p>
            <w:pPr>
              <w:jc w:val="left"/>
            </w:pPr>
            <w:r>
              <w:rPr/>
              <w:t>Priya Nair</w:t>
            </w:r>
          </w:p>
        </w:tc>
        <w:tc>
          <w:tcPr>
            <w:tcW w:type="dxa" w:w="2880"/>
          </w:tcPr>
          <w:p>
            <w:pPr>
              <w:jc w:val="left"/>
            </w:pPr>
            <w:r>
              <w:rPr/>
              <w:t>Backups copied to Kestrel's AWS account in eu-west-2 from Day 1</w:t>
            </w:r>
          </w:p>
        </w:tc>
      </w:tr>
      <w:tr>
        <w:tc>
          <w:tcPr>
            <w:tcW w:type="dxa" w:w="2880"/>
          </w:tcPr>
          <w:p>
            <w:pPr>
              <w:jc w:val="left"/>
            </w:pPr>
            <w:r>
              <w:rPr/>
              <w:t>Earn-out definition argued at the end of 2027</w:t>
            </w:r>
          </w:p>
        </w:tc>
        <w:tc>
          <w:tcPr>
            <w:tcW w:type="dxa" w:w="2880"/>
          </w:tcPr>
          <w:p>
            <w:pPr>
              <w:jc w:val="left"/>
            </w:pPr>
            <w:r>
              <w:rPr/>
              <w:t>Tom Whitfield</w:t>
            </w:r>
          </w:p>
        </w:tc>
        <w:tc>
          <w:tcPr>
            <w:tcW w:type="dxa" w:w="2880"/>
          </w:tcPr>
          <w:p>
            <w:pPr>
              <w:jc w:val="left"/>
            </w:pPr>
            <w:r>
              <w:rPr/>
              <w:t>Monthly ARR report agreed with Inês Carvalho from January 2027</w:t>
            </w:r>
          </w:p>
        </w:tc>
      </w:tr>
      <w:tr>
        <w:tc>
          <w:tcPr>
            <w:tcW w:type="dxa" w:w="2880"/>
          </w:tcPr>
          <w:p>
            <w:pPr>
              <w:jc w:val="left"/>
            </w:pPr>
            <w:r>
              <w:rPr/>
              <w:t>Open question: does Lumen's auditor stay for FY2026?</w:t>
            </w:r>
          </w:p>
        </w:tc>
        <w:tc>
          <w:tcPr>
            <w:tcW w:type="dxa" w:w="2880"/>
          </w:tcPr>
          <w:p>
            <w:pPr>
              <w:jc w:val="left"/>
            </w:pPr>
            <w:r>
              <w:rPr/>
              <w:t>Tom Whitfield</w:t>
            </w:r>
          </w:p>
        </w:tc>
        <w:tc>
          <w:tcPr>
            <w:tcW w:type="dxa" w:w="2880"/>
          </w:tcPr>
          <w:p>
            <w:pPr>
              <w:jc w:val="left"/>
            </w:pPr>
            <w:r>
              <w:rPr/>
              <w:t>Decide with Fernside &amp; Co by 15 January 2027</w:t>
            </w:r>
          </w:p>
        </w:tc>
      </w:tr>
      <w:tr>
        <w:tc>
          <w:tcPr>
            <w:tcW w:type="dxa" w:w="2880"/>
          </w:tcPr>
          <w:p>
            <w:pPr>
              <w:jc w:val="left"/>
            </w:pPr>
            <w:r>
              <w:rPr/>
              <w:t>Open question: Lumen brand inside Kestrel Accounts</w:t>
            </w:r>
          </w:p>
        </w:tc>
        <w:tc>
          <w:tcPr>
            <w:tcW w:type="dxa" w:w="2880"/>
          </w:tcPr>
          <w:p>
            <w:pPr>
              <w:jc w:val="left"/>
            </w:pPr>
            <w:r>
              <w:rPr/>
              <w:t>Priya Nair</w:t>
            </w:r>
          </w:p>
        </w:tc>
        <w:tc>
          <w:tcPr>
            <w:tcW w:type="dxa" w:w="2880"/>
          </w:tcPr>
          <w:p>
            <w:pPr>
              <w:jc w:val="left"/>
            </w:pPr>
            <w:r>
              <w:rPr/>
              <w:t>Proposal to the steering group by Day 30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Heron: Integration Plan (draft v0.4)</dc:title>
  <dc:subject/>
  <dc:creator>Daniel Reyes</dc:creator>
  <cp:keywords/>
  <dc:description/>
  <cp:lastModifiedBy>Daniel Reyes</cp:lastModifiedBy>
  <cp:revision>1</cp:revision>
  <dcterms:created xsi:type="dcterms:W3CDTF">2026-09-15T11:45:00Z</dcterms:created>
  <dcterms:modified xsi:type="dcterms:W3CDTF">2026-09-28T14:00:00Z</dcterms:modified>
  <cp:category/>
</cp:coreProperties>
</file>