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Sales Playbook 2026</w:t>
      </w:r>
    </w:p>
    <w:p>
      <w:r>
        <w:rPr/>
        <w:t>Owner: Jake Morrison, Head of Sales. Contributors: Chloe Dubois (Account Executive), Ravi Shah (Sales Engineer), Hannah Kim (Customer Success Manager). Last updated 3 September 2026 (section 8, Brightwell referrals, added).</w:t>
      </w:r>
    </w:p>
    <w:p>
      <w:r>
        <w:rPr/>
        <w:t>This is how we find, qualify and close merchants, and how we hand them to Customer Success. Read it in your first month, together with the price list and the Pricing FAQ.</w:t>
      </w:r>
    </w:p>
    <w:p>
      <w:pPr>
        <w:pStyle w:val="Heading2"/>
      </w:pPr>
      <w:r>
        <w:rPr/>
        <w:t>1. Who we sell to</w:t>
      </w:r>
    </w:p>
    <w:p>
      <w:pPr>
        <w:pStyle w:val="Heading3"/>
      </w:pPr>
      <w:r>
        <w:rPr/>
        <w:t>1.1 Good fit</w:t>
      </w:r>
    </w:p>
    <w:p>
      <w:pPr>
        <w:pStyle w:val="ListBullet"/>
      </w:pPr>
      <w:r>
        <w:rPr/>
        <w:t>Small and medium businesses in the UK and the EU with £500,000 to £50m annual turnover and 5 to 250 staff.</w:t>
      </w:r>
    </w:p>
    <w:p>
      <w:pPr>
        <w:pStyle w:val="ListBullet"/>
      </w:pPr>
      <w:r>
        <w:rPr/>
        <w:t>Card volume between £20,000 and £5m a month.</w:t>
      </w:r>
    </w:p>
    <w:p>
      <w:pPr>
        <w:pStyle w:val="ListBullet"/>
      </w:pPr>
      <w:r>
        <w:rPr/>
        <w:t>Best verticals: hospitality (especially multi-site cafés and restaurants), e-commerce, professional services, and retail chains with up to 50 sites.</w:t>
      </w:r>
    </w:p>
    <w:p>
      <w:pPr>
        <w:pStyle w:val="ListBullet"/>
      </w:pPr>
      <w:r>
        <w:rPr/>
        <w:t>Businesses that need more than one of our products. A merchant using Checkout and Accounts stays more than twice as long as one using Checkout alone.</w:t>
      </w:r>
    </w:p>
    <w:p>
      <w:pPr>
        <w:pStyle w:val="Heading3"/>
      </w:pPr>
      <w:r>
        <w:rPr/>
        <w:t>1.2 Not a fit</w:t>
      </w:r>
    </w:p>
    <w:p>
      <w:pPr>
        <w:pStyle w:val="ListBullet"/>
      </w:pPr>
      <w:r>
        <w:rPr/>
        <w:t>Prohibited and high-risk categories: gambling, crypto exchanges, adult content, weapons, CBD and debt collection. Do not start a conversation; log the lead as "not eligible".</w:t>
      </w:r>
    </w:p>
    <w:p>
      <w:pPr>
        <w:pStyle w:val="ListBullet"/>
      </w:pPr>
      <w:r>
        <w:rPr/>
        <w:t>Businesses with more than £100m a year in card volume. We are not built for enterprise integrations.</w:t>
      </w:r>
    </w:p>
    <w:p>
      <w:pPr>
        <w:pStyle w:val="ListBullet"/>
      </w:pPr>
      <w:r>
        <w:rPr/>
        <w:t>Businesses registered outside the UK and the EEA.</w:t>
      </w:r>
    </w:p>
    <w:p>
      <w:r>
        <w:rPr/>
        <w:t>If you are not sure whether a business is eligible, ask Compliance before the first demo, not after the proposal.</w:t>
      </w:r>
    </w:p>
    <w:p>
      <w:pPr>
        <w:pStyle w:val="Heading2"/>
      </w:pPr>
      <w:r>
        <w:rPr/>
        <w:t>2. What we sell</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Need</w:t>
            </w:r>
          </w:p>
        </w:tc>
        <w:tc>
          <w:tcPr>
            <w:tcW w:type="dxa" w:w="2880"/>
          </w:tcPr>
          <w:p>
            <w:pPr>
              <w:jc w:val="left"/>
            </w:pPr>
            <w:r>
              <w:rPr>
                <w:b/>
              </w:rPr>
              <w:t>Lead with</w:t>
            </w:r>
          </w:p>
        </w:tc>
        <w:tc>
          <w:tcPr>
            <w:tcW w:type="dxa" w:w="2880"/>
          </w:tcPr>
          <w:p>
            <w:pPr>
              <w:jc w:val="left"/>
            </w:pPr>
            <w:r>
              <w:rPr>
                <w:b/>
              </w:rPr>
              <w:t>Typical SKUs</w:t>
            </w:r>
          </w:p>
        </w:tc>
      </w:tr>
      <w:tr>
        <w:tc>
          <w:tcPr>
            <w:tcW w:type="dxa" w:w="2880"/>
          </w:tcPr>
          <w:p>
            <w:pPr>
              <w:jc w:val="left"/>
            </w:pPr>
            <w:r>
              <w:rPr/>
              <w:t>Take card payments online or in store</w:t>
            </w:r>
          </w:p>
        </w:tc>
        <w:tc>
          <w:tcPr>
            <w:tcW w:type="dxa" w:w="2880"/>
          </w:tcPr>
          <w:p>
            <w:pPr>
              <w:jc w:val="left"/>
            </w:pPr>
            <w:r>
              <w:rPr/>
              <w:t>Kestrel Checkout</w:t>
            </w:r>
          </w:p>
        </w:tc>
        <w:tc>
          <w:tcPr>
            <w:tcW w:type="dxa" w:w="2880"/>
          </w:tcPr>
          <w:p>
            <w:pPr>
              <w:jc w:val="left"/>
            </w:pPr>
            <w:r>
              <w:rPr/>
              <w:t>KC-STD-12, KC-PRO-12, KC-TERM-01</w:t>
            </w:r>
          </w:p>
        </w:tc>
      </w:tr>
      <w:tr>
        <w:tc>
          <w:tcPr>
            <w:tcW w:type="dxa" w:w="2880"/>
          </w:tcPr>
          <w:p>
            <w:pPr>
              <w:jc w:val="left"/>
            </w:pPr>
            <w:r>
              <w:rPr/>
              <w:t>A business account and expense cards</w:t>
            </w:r>
          </w:p>
        </w:tc>
        <w:tc>
          <w:tcPr>
            <w:tcW w:type="dxa" w:w="2880"/>
          </w:tcPr>
          <w:p>
            <w:pPr>
              <w:jc w:val="left"/>
            </w:pPr>
            <w:r>
              <w:rPr/>
              <w:t>Kestrel Accounts</w:t>
            </w:r>
          </w:p>
        </w:tc>
        <w:tc>
          <w:tcPr>
            <w:tcW w:type="dxa" w:w="2880"/>
          </w:tcPr>
          <w:p>
            <w:pPr>
              <w:jc w:val="left"/>
            </w:pPr>
            <w:r>
              <w:rPr/>
              <w:t>KA-PLUS-12, KA-TEAM-12</w:t>
            </w:r>
          </w:p>
        </w:tc>
      </w:tr>
      <w:tr>
        <w:tc>
          <w:tcPr>
            <w:tcW w:type="dxa" w:w="2880"/>
          </w:tcPr>
          <w:p>
            <w:pPr>
              <w:jc w:val="left"/>
            </w:pPr>
            <w:r>
              <w:rPr/>
              <w:t>Pay suppliers or staff in bulk</w:t>
            </w:r>
          </w:p>
        </w:tc>
        <w:tc>
          <w:tcPr>
            <w:tcW w:type="dxa" w:w="2880"/>
          </w:tcPr>
          <w:p>
            <w:pPr>
              <w:jc w:val="left"/>
            </w:pPr>
            <w:r>
              <w:rPr/>
              <w:t>Kestrel Payouts</w:t>
            </w:r>
          </w:p>
        </w:tc>
        <w:tc>
          <w:tcPr>
            <w:tcW w:type="dxa" w:w="2880"/>
          </w:tcPr>
          <w:p>
            <w:pPr>
              <w:jc w:val="left"/>
            </w:pPr>
            <w:r>
              <w:rPr/>
              <w:t>KP-BULK-500, KP-BULK-2000</w:t>
            </w:r>
          </w:p>
        </w:tc>
      </w:tr>
      <w:tr>
        <w:tc>
          <w:tcPr>
            <w:tcW w:type="dxa" w:w="2880"/>
          </w:tcPr>
          <w:p>
            <w:pPr>
              <w:jc w:val="left"/>
            </w:pPr>
            <w:r>
              <w:rPr/>
              <w:t>Multi-site hospitality</w:t>
            </w:r>
          </w:p>
        </w:tc>
        <w:tc>
          <w:tcPr>
            <w:tcW w:type="dxa" w:w="2880"/>
          </w:tcPr>
          <w:p>
            <w:pPr>
              <w:jc w:val="left"/>
            </w:pPr>
            <w:r>
              <w:rPr/>
              <w:t>Checkout Pro with terminals and Accounts Team</w:t>
            </w:r>
          </w:p>
        </w:tc>
        <w:tc>
          <w:tcPr>
            <w:tcW w:type="dxa" w:w="2880"/>
          </w:tcPr>
          <w:p>
            <w:pPr>
              <w:jc w:val="left"/>
            </w:pPr>
            <w:r>
              <w:rPr/>
              <w:t>KC-PRO-12, KC-TERM-01, KA-TEAM-12</w:t>
            </w:r>
          </w:p>
        </w:tc>
      </w:tr>
    </w:tbl>
    <w:p/>
    <w:p>
      <w:r>
        <w:rPr/>
        <w:t>Always lead with the 12-month plans. Offer monthly plans only when a merchant refuses a term.</w:t>
      </w:r>
    </w:p>
    <w:p>
      <w:r>
        <w:br w:type="page"/>
      </w:r>
    </w:p>
    <w:p>
      <w:pPr>
        <w:pStyle w:val="Heading2"/>
      </w:pPr>
      <w:r>
        <w:rPr/>
        <w:t>3. Pipeline stages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Stage</w:t>
            </w:r>
          </w:p>
        </w:tc>
        <w:tc>
          <w:tcPr>
            <w:tcW w:type="dxa" w:w="2880"/>
          </w:tcPr>
          <w:p>
            <w:pPr>
              <w:jc w:val="left"/>
            </w:pPr>
            <w:r>
              <w:rPr>
                <w:b/>
              </w:rPr>
              <w:t>What has to be true to move on</w:t>
            </w:r>
          </w:p>
        </w:tc>
        <w:tc>
          <w:tcPr>
            <w:tcW w:type="dxa" w:w="2880"/>
          </w:tcPr>
          <w:p>
            <w:pPr>
              <w:jc w:val="left"/>
            </w:pPr>
            <w:r>
              <w:rPr>
                <w:b/>
              </w:rPr>
              <w:t>Weighting</w:t>
            </w:r>
          </w:p>
        </w:tc>
      </w:tr>
      <w:tr>
        <w:tc>
          <w:tcPr>
            <w:tcW w:type="dxa" w:w="2880"/>
          </w:tcPr>
          <w:p>
            <w:pPr>
              <w:jc w:val="left"/>
            </w:pPr>
            <w:r>
              <w:rPr/>
              <w:t>1. Discovery</w:t>
            </w:r>
          </w:p>
        </w:tc>
        <w:tc>
          <w:tcPr>
            <w:tcW w:type="dxa" w:w="2880"/>
          </w:tcPr>
          <w:p>
            <w:pPr>
              <w:jc w:val="left"/>
            </w:pPr>
            <w:r>
              <w:rPr/>
              <w:t>We know their current provider, monthly card volume, average ticket, number of sites, and who decides</w:t>
            </w:r>
          </w:p>
        </w:tc>
        <w:tc>
          <w:tcPr>
            <w:tcW w:type="dxa" w:w="2880"/>
          </w:tcPr>
          <w:p>
            <w:pPr>
              <w:jc w:val="left"/>
            </w:pPr>
            <w:r>
              <w:rPr/>
              <w:t>10%</w:t>
            </w:r>
          </w:p>
        </w:tc>
      </w:tr>
      <w:tr>
        <w:tc>
          <w:tcPr>
            <w:tcW w:type="dxa" w:w="2880"/>
          </w:tcPr>
          <w:p>
            <w:pPr>
              <w:jc w:val="left"/>
            </w:pPr>
            <w:r>
              <w:rPr/>
              <w:t>2. Qualified</w:t>
            </w:r>
          </w:p>
        </w:tc>
        <w:tc>
          <w:tcPr>
            <w:tcW w:type="dxa" w:w="2880"/>
          </w:tcPr>
          <w:p>
            <w:pPr>
              <w:jc w:val="left"/>
            </w:pPr>
            <w:r>
              <w:rPr/>
              <w:t>Eligibility pre-check passed, a pain we solve is confirmed, and a proposal date is agreed</w:t>
            </w:r>
          </w:p>
        </w:tc>
        <w:tc>
          <w:tcPr>
            <w:tcW w:type="dxa" w:w="2880"/>
          </w:tcPr>
          <w:p>
            <w:pPr>
              <w:jc w:val="left"/>
            </w:pPr>
            <w:r>
              <w:rPr/>
              <w:t>25%</w:t>
            </w:r>
          </w:p>
        </w:tc>
      </w:tr>
      <w:tr>
        <w:tc>
          <w:tcPr>
            <w:tcW w:type="dxa" w:w="2880"/>
          </w:tcPr>
          <w:p>
            <w:pPr>
              <w:jc w:val="left"/>
            </w:pPr>
            <w:r>
              <w:rPr/>
              <w:t>3. Proposal</w:t>
            </w:r>
          </w:p>
        </w:tc>
        <w:tc>
          <w:tcPr>
            <w:tcW w:type="dxa" w:w="2880"/>
          </w:tcPr>
          <w:p>
            <w:pPr>
              <w:jc w:val="left"/>
            </w:pPr>
            <w:r>
              <w:rPr/>
              <w:t>Proposal sent from the price list, any discount within authority or approved by deal desk</w:t>
            </w:r>
          </w:p>
        </w:tc>
        <w:tc>
          <w:tcPr>
            <w:tcW w:type="dxa" w:w="2880"/>
          </w:tcPr>
          <w:p>
            <w:pPr>
              <w:jc w:val="left"/>
            </w:pPr>
            <w:r>
              <w:rPr/>
              <w:t>50%</w:t>
            </w:r>
          </w:p>
        </w:tc>
      </w:tr>
      <w:tr>
        <w:tc>
          <w:tcPr>
            <w:tcW w:type="dxa" w:w="2880"/>
          </w:tcPr>
          <w:p>
            <w:pPr>
              <w:jc w:val="left"/>
            </w:pPr>
            <w:r>
              <w:rPr/>
              <w:t>4. Negotiation</w:t>
            </w:r>
          </w:p>
        </w:tc>
        <w:tc>
          <w:tcPr>
            <w:tcW w:type="dxa" w:w="2880"/>
          </w:tcPr>
          <w:p>
            <w:pPr>
              <w:jc w:val="left"/>
            </w:pPr>
            <w:r>
              <w:rPr/>
              <w:t>Verbal yes from the decision maker; order form sent</w:t>
            </w:r>
          </w:p>
        </w:tc>
        <w:tc>
          <w:tcPr>
            <w:tcW w:type="dxa" w:w="2880"/>
          </w:tcPr>
          <w:p>
            <w:pPr>
              <w:jc w:val="left"/>
            </w:pPr>
            <w:r>
              <w:rPr/>
              <w:t>75%</w:t>
            </w:r>
          </w:p>
        </w:tc>
      </w:tr>
      <w:tr>
        <w:tc>
          <w:tcPr>
            <w:tcW w:type="dxa" w:w="2880"/>
          </w:tcPr>
          <w:p>
            <w:pPr>
              <w:jc w:val="left"/>
            </w:pPr>
            <w:r>
              <w:rPr/>
              <w:t>5. Closed won</w:t>
            </w:r>
          </w:p>
        </w:tc>
        <w:tc>
          <w:tcPr>
            <w:tcW w:type="dxa" w:w="2880"/>
          </w:tcPr>
          <w:p>
            <w:pPr>
              <w:jc w:val="left"/>
            </w:pPr>
            <w:r>
              <w:rPr/>
              <w:t>Order form signed by both sides and saved in /Sales</w:t>
            </w:r>
          </w:p>
        </w:tc>
        <w:tc>
          <w:tcPr>
            <w:tcW w:type="dxa" w:w="2880"/>
          </w:tcPr>
          <w:p>
            <w:pPr>
              <w:jc w:val="left"/>
            </w:pPr>
            <w:r>
              <w:rPr/>
              <w:t>100%</w:t>
            </w:r>
          </w:p>
        </w:tc>
      </w:tr>
    </w:tbl>
    <w:p/>
    <w:p>
      <w:r>
        <w:rPr/>
        <w:t>Update the stage in the CRM the same day it changes. Forecasts are pulled every Monday at 09:00.</w:t>
      </w:r>
    </w:p>
    <w:p>
      <w:pPr>
        <w:pStyle w:val="Heading2"/>
      </w:pPr>
      <w:r>
        <w:rPr/>
        <w:t>4. Qualification questions</w:t>
      </w:r>
    </w:p>
    <w:p>
      <w:pPr>
        <w:pStyle w:val="ListNumber"/>
        <w:numPr>
          <w:ilvl w:val="0"/>
          <w:numId w:val="10"/>
        </w:numPr>
      </w:pPr>
      <w:r>
        <w:rPr/>
        <w:t>Who do you use for card payments today, and what do you pay all-in? Ask for a recent statement.</w:t>
      </w:r>
    </w:p>
    <w:p>
      <w:pPr>
        <w:pStyle w:val="ListNumber"/>
        <w:numPr>
          <w:ilvl w:val="0"/>
          <w:numId w:val="10"/>
        </w:numPr>
      </w:pPr>
      <w:r>
        <w:rPr/>
        <w:t>What is your monthly card volume and average transaction value?</w:t>
      </w:r>
    </w:p>
    <w:p>
      <w:pPr>
        <w:pStyle w:val="ListNumber"/>
        <w:numPr>
          <w:ilvl w:val="0"/>
          <w:numId w:val="10"/>
        </w:numPr>
      </w:pPr>
      <w:r>
        <w:rPr/>
        <w:t>How many sites and terminals do you have?</w:t>
      </w:r>
    </w:p>
    <w:p>
      <w:pPr>
        <w:pStyle w:val="ListNumber"/>
        <w:numPr>
          <w:ilvl w:val="0"/>
          <w:numId w:val="10"/>
        </w:numPr>
      </w:pPr>
      <w:r>
        <w:rPr/>
        <w:t>How do you pay suppliers and staff today?</w:t>
      </w:r>
    </w:p>
    <w:p>
      <w:pPr>
        <w:pStyle w:val="ListNumber"/>
        <w:numPr>
          <w:ilvl w:val="0"/>
          <w:numId w:val="10"/>
        </w:numPr>
      </w:pPr>
      <w:r>
        <w:rPr/>
        <w:t>Who signs the contract, and who else has a say?</w:t>
      </w:r>
    </w:p>
    <w:p>
      <w:pPr>
        <w:pStyle w:val="ListNumber"/>
        <w:numPr>
          <w:ilvl w:val="0"/>
          <w:numId w:val="10"/>
        </w:numPr>
      </w:pPr>
      <w:r>
        <w:rPr/>
        <w:t>When does your current contract end, and is there an exit fee?</w:t>
      </w:r>
    </w:p>
    <w:p>
      <w:pPr>
        <w:pStyle w:val="Heading2"/>
      </w:pPr>
      <w:r>
        <w:rPr/>
        <w:t>5. Pricing and discounts</w:t>
      </w:r>
    </w:p>
    <w:p>
      <w:r>
        <w:rPr/>
        <w:t>Prices come only from the current price list (2026.2). Discount authority follows the company's Delegated Authority Matrix:</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Who</w:t>
            </w:r>
          </w:p>
        </w:tc>
        <w:tc>
          <w:tcPr>
            <w:tcW w:type="dxa" w:w="2880"/>
          </w:tcPr>
          <w:p>
            <w:pPr>
              <w:jc w:val="left"/>
            </w:pPr>
            <w:r>
              <w:rPr>
                <w:b/>
              </w:rPr>
              <w:t>Monthly fee discount</w:t>
            </w:r>
          </w:p>
        </w:tc>
        <w:tc>
          <w:tcPr>
            <w:tcW w:type="dxa" w:w="2880"/>
          </w:tcPr>
          <w:p>
            <w:pPr>
              <w:jc w:val="left"/>
            </w:pPr>
            <w:r>
              <w:rPr>
                <w:b/>
              </w:rPr>
              <w:t>Transaction rate</w:t>
            </w:r>
          </w:p>
        </w:tc>
      </w:tr>
      <w:tr>
        <w:tc>
          <w:tcPr>
            <w:tcW w:type="dxa" w:w="2880"/>
          </w:tcPr>
          <w:p>
            <w:pPr>
              <w:jc w:val="left"/>
            </w:pPr>
            <w:r>
              <w:rPr/>
              <w:t>Account Executive</w:t>
            </w:r>
          </w:p>
        </w:tc>
        <w:tc>
          <w:tcPr>
            <w:tcW w:type="dxa" w:w="2880"/>
          </w:tcPr>
          <w:p>
            <w:pPr>
              <w:jc w:val="left"/>
            </w:pPr>
            <w:r>
              <w:rPr/>
              <w:t>Up to 10%</w:t>
            </w:r>
          </w:p>
        </w:tc>
        <w:tc>
          <w:tcPr>
            <w:tcW w:type="dxa" w:w="2880"/>
          </w:tcPr>
          <w:p>
            <w:pPr>
              <w:jc w:val="left"/>
            </w:pPr>
            <w:r>
              <w:rPr/>
              <w:t>Plan rate only</w:t>
            </w:r>
          </w:p>
        </w:tc>
      </w:tr>
      <w:tr>
        <w:tc>
          <w:tcPr>
            <w:tcW w:type="dxa" w:w="2880"/>
          </w:tcPr>
          <w:p>
            <w:pPr>
              <w:jc w:val="left"/>
            </w:pPr>
            <w:r>
              <w:rPr/>
              <w:t>Head of Sales</w:t>
            </w:r>
          </w:p>
        </w:tc>
        <w:tc>
          <w:tcPr>
            <w:tcW w:type="dxa" w:w="2880"/>
          </w:tcPr>
          <w:p>
            <w:pPr>
              <w:jc w:val="left"/>
            </w:pPr>
            <w:r>
              <w:rPr/>
              <w:t>Up to 15%</w:t>
            </w:r>
          </w:p>
        </w:tc>
        <w:tc>
          <w:tcPr>
            <w:tcW w:type="dxa" w:w="2880"/>
          </w:tcPr>
          <w:p>
            <w:pPr>
              <w:jc w:val="left"/>
            </w:pPr>
            <w:r>
              <w:rPr/>
              <w:t>Plan rate only</w:t>
            </w:r>
          </w:p>
        </w:tc>
      </w:tr>
      <w:tr>
        <w:tc>
          <w:tcPr>
            <w:tcW w:type="dxa" w:w="2880"/>
          </w:tcPr>
          <w:p>
            <w:pPr>
              <w:jc w:val="left"/>
            </w:pPr>
            <w:r>
              <w:rPr/>
              <w:t>CFO</w:t>
            </w:r>
          </w:p>
        </w:tc>
        <w:tc>
          <w:tcPr>
            <w:tcW w:type="dxa" w:w="2880"/>
          </w:tcPr>
          <w:p>
            <w:pPr>
              <w:jc w:val="left"/>
            </w:pPr>
            <w:r>
              <w:rPr/>
              <w:t>Above 15%</w:t>
            </w:r>
          </w:p>
        </w:tc>
        <w:tc>
          <w:tcPr>
            <w:tcW w:type="dxa" w:w="2880"/>
          </w:tcPr>
          <w:p>
            <w:pPr>
              <w:jc w:val="left"/>
            </w:pPr>
            <w:r>
              <w:rPr/>
              <w:t>Any rate below the plan rate, through deal desk</w:t>
            </w:r>
          </w:p>
        </w:tc>
      </w:tr>
    </w:tbl>
    <w:p/>
    <w:p>
      <w:r>
        <w:rPr/>
        <w:t>The CFO does not approve transaction rates below the floor of 0.95% + 10p; deal desk turns those down without sending them on.</w:t>
      </w:r>
    </w:p>
    <w:p>
      <w:r>
        <w:rPr/>
        <w:t>Deal desk meets on Tuesdays and Thursdays at 16:00. Submit by 12:00 the same day with the merchant's last 3 months of card statements. Ravi Shah runs deal desk with Jake Morrison.</w:t>
      </w:r>
    </w:p>
    <w:p>
      <w:pPr>
        <w:pStyle w:val="Heading2"/>
      </w:pPr>
      <w:r>
        <w:rPr/>
        <w:t>6. Handling common objections</w:t>
      </w:r>
    </w:p>
    <w:p>
      <w:r>
        <w:rPr>
          <w:b/>
        </w:rPr>
        <w:t>"Your rates are higher than my current provider."</w:t>
      </w:r>
      <w:r>
        <w:rPr/>
        <w:t xml:space="preserve"> Compare the effective rate, not the headline rate: include monthly fees, terminal rental, chargeback fees and settlement times. Ask Ravi Shah for a statement comparison.</w:t>
      </w:r>
    </w:p>
    <w:p>
      <w:r>
        <w:rPr>
          <w:b/>
        </w:rPr>
        <w:t>"Switching is too much work."</w:t>
      </w:r>
      <w:r>
        <w:rPr/>
        <w:t xml:space="preserve"> Most hospitality merchants are live within 3 business days of KYB approval. Terminals ship within 2 business days of signature.</w:t>
      </w:r>
    </w:p>
    <w:p>
      <w:r>
        <w:rPr>
          <w:b/>
        </w:rPr>
        <w:t>"What happens if you go down?"</w:t>
      </w:r>
      <w:r>
        <w:rPr/>
        <w:t xml:space="preserve"> Checkout Pro has a 99.95% monthly availability commitment with service credits. Do not promise anything beyond the Service Level Schedule.</w:t>
      </w:r>
    </w:p>
    <w:p>
      <w:r>
        <w:rPr>
          <w:b/>
        </w:rPr>
        <w:t>"We already have a bank account."</w:t>
      </w:r>
      <w:r>
        <w:rPr/>
        <w:t xml:space="preserve"> Lead with what the bank does not do: expense cards with receipt capture, instant transfers between Checkout settlement and Payouts, and accounting integrations on Accounts Team.</w:t>
      </w:r>
    </w:p>
    <w:p>
      <w:pPr>
        <w:pStyle w:val="Heading2"/>
      </w:pPr>
      <w:r>
        <w:rPr/>
        <w:t>7. Things you must never do</w:t>
      </w:r>
    </w:p>
    <w:p>
      <w:pPr>
        <w:pStyle w:val="ListBullet"/>
      </w:pPr>
      <w:r>
        <w:rPr/>
        <w:t>Promise that KYB checks will pass, or how long they will take.</w:t>
      </w:r>
    </w:p>
    <w:p>
      <w:pPr>
        <w:pStyle w:val="ListBullet"/>
      </w:pPr>
      <w:r>
        <w:rPr/>
        <w:t>Tell a merchant why their account is restricted, or that it is under review. Route every restricted-account question (error KP-3002) to Customer Success, who route it to Compliance.</w:t>
      </w:r>
    </w:p>
    <w:p>
      <w:pPr>
        <w:pStyle w:val="ListBullet"/>
      </w:pPr>
      <w:r>
        <w:rPr/>
        <w:t>Share Kestrel Shield fraud rules, thresholds or scores. Sales does not have access to them and must not ask for them.</w:t>
      </w:r>
    </w:p>
    <w:p>
      <w:pPr>
        <w:pStyle w:val="ListBullet"/>
      </w:pPr>
      <w:r>
        <w:rPr/>
        <w:t>Call Kestrel Pay a bank. We are an electronic money institution.</w:t>
      </w:r>
    </w:p>
    <w:p>
      <w:pPr>
        <w:pStyle w:val="ListBullet"/>
      </w:pPr>
      <w:r>
        <w:rPr/>
        <w:t>Offer prices or terms that are not in the price list without deal desk approval.</w:t>
      </w:r>
    </w:p>
    <w:p>
      <w:pPr>
        <w:pStyle w:val="ListBullet"/>
      </w:pPr>
      <w:r>
        <w:rPr/>
        <w:t>Send a merchant any internal document from this workspace.</w:t>
      </w:r>
    </w:p>
    <w:p>
      <w:pPr>
        <w:pStyle w:val="Heading2"/>
      </w:pPr>
      <w:r>
        <w:rPr/>
        <w:t>8. Partners</w:t>
      </w:r>
    </w:p>
    <w:p>
      <w:r>
        <w:rPr/>
        <w:t>From the October 2026 pilot, Brightwell Payroll will refer payroll customers to us for Kestrel Payouts. Brightwell leads come in tagged "Brightwell referral". Partner pricing applies (20% off KP-BULK-500 or KP-BULK-2000 for 3 months). The CFO approved it as part of the Brightwell agreement, so it does not count against your discount authority. Julia Novak owns the partnership; Ravi Shah is the technical contact.</w:t>
      </w:r>
    </w:p>
    <w:p>
      <w:pPr>
        <w:pStyle w:val="Heading2"/>
      </w:pPr>
      <w:r>
        <w:rPr/>
        <w:t>9. Handing over to Customer Success</w:t>
      </w:r>
    </w:p>
    <w:p>
      <w:pPr>
        <w:pStyle w:val="ListNumber"/>
        <w:numPr>
          <w:ilvl w:val="0"/>
          <w:numId w:val="11"/>
        </w:numPr>
      </w:pPr>
      <w:r>
        <w:rPr/>
        <w:t>Within 2 business days of signature, create the handover in the CRM: products, sites, go-live date, contacts, and anything promised during the sale.</w:t>
      </w:r>
    </w:p>
    <w:p>
      <w:pPr>
        <w:pStyle w:val="ListNumber"/>
        <w:numPr>
          <w:ilvl w:val="0"/>
          <w:numId w:val="11"/>
        </w:numPr>
      </w:pPr>
      <w:r>
        <w:rPr/>
        <w:t>Customer Success holds a kick-off call within 5 business days of signature.</w:t>
      </w:r>
    </w:p>
    <w:p>
      <w:pPr>
        <w:pStyle w:val="ListNumber"/>
        <w:numPr>
          <w:ilvl w:val="0"/>
          <w:numId w:val="11"/>
        </w:numPr>
      </w:pPr>
      <w:r>
        <w:rPr/>
        <w:t>Merchants on Checkout Pro with more than £1m annual card volume get a named Customer Success Manager.</w:t>
      </w:r>
    </w:p>
    <w:p>
      <w:pPr>
        <w:pStyle w:val="ListNumber"/>
        <w:numPr>
          <w:ilvl w:val="0"/>
          <w:numId w:val="11"/>
        </w:numPr>
      </w:pPr>
      <w:r>
        <w:rPr/>
        <w:t>Stay on the account for the first 30 days after go-live, then hand over fully.</w:t>
      </w:r>
    </w:p>
    <w:p>
      <w:pPr>
        <w:pStyle w:val="Heading2"/>
      </w:pPr>
      <w:r>
        <w:rPr/>
        <w:t>10. Targets for 2026</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Measure</w:t>
            </w:r>
          </w:p>
        </w:tc>
        <w:tc>
          <w:tcPr>
            <w:tcW w:type="dxa" w:w="4320"/>
          </w:tcPr>
          <w:p>
            <w:pPr>
              <w:jc w:val="left"/>
            </w:pPr>
            <w:r>
              <w:rPr>
                <w:b/>
              </w:rPr>
              <w:t>Target</w:t>
            </w:r>
          </w:p>
        </w:tc>
      </w:tr>
      <w:tr>
        <w:tc>
          <w:tcPr>
            <w:tcW w:type="dxa" w:w="4320"/>
          </w:tcPr>
          <w:p>
            <w:pPr>
              <w:jc w:val="left"/>
            </w:pPr>
            <w:r>
              <w:rPr/>
              <w:t>Win rate from Qualified</w:t>
            </w:r>
          </w:p>
        </w:tc>
        <w:tc>
          <w:tcPr>
            <w:tcW w:type="dxa" w:w="4320"/>
          </w:tcPr>
          <w:p>
            <w:pPr>
              <w:jc w:val="left"/>
            </w:pPr>
            <w:r>
              <w:rPr/>
              <w:t>28%</w:t>
            </w:r>
          </w:p>
        </w:tc>
      </w:tr>
      <w:tr>
        <w:tc>
          <w:tcPr>
            <w:tcW w:type="dxa" w:w="4320"/>
          </w:tcPr>
          <w:p>
            <w:pPr>
              <w:jc w:val="left"/>
            </w:pPr>
            <w:r>
              <w:rPr/>
              <w:t>Median sales cycle, Qualified to Closed won</w:t>
            </w:r>
          </w:p>
        </w:tc>
        <w:tc>
          <w:tcPr>
            <w:tcW w:type="dxa" w:w="4320"/>
          </w:tcPr>
          <w:p>
            <w:pPr>
              <w:jc w:val="left"/>
            </w:pPr>
            <w:r>
              <w:rPr/>
              <w:t>34 days</w:t>
            </w:r>
          </w:p>
        </w:tc>
      </w:tr>
      <w:tr>
        <w:tc>
          <w:tcPr>
            <w:tcW w:type="dxa" w:w="4320"/>
          </w:tcPr>
          <w:p>
            <w:pPr>
              <w:jc w:val="left"/>
            </w:pPr>
            <w:r>
              <w:rPr/>
              <w:t>Share of new merchants on 12-month plans</w:t>
            </w:r>
          </w:p>
        </w:tc>
        <w:tc>
          <w:tcPr>
            <w:tcW w:type="dxa" w:w="4320"/>
          </w:tcPr>
          <w:p>
            <w:pPr>
              <w:jc w:val="left"/>
            </w:pPr>
            <w:r>
              <w:rPr/>
              <w:t>70%</w:t>
            </w:r>
          </w:p>
        </w:tc>
      </w:tr>
      <w:tr>
        <w:tc>
          <w:tcPr>
            <w:tcW w:type="dxa" w:w="4320"/>
          </w:tcPr>
          <w:p>
            <w:pPr>
              <w:jc w:val="left"/>
            </w:pPr>
            <w:r>
              <w:rPr/>
              <w:t>Share of new merchants with 2 or more products</w:t>
            </w:r>
          </w:p>
        </w:tc>
        <w:tc>
          <w:tcPr>
            <w:tcW w:type="dxa" w:w="4320"/>
          </w:tcPr>
          <w:p>
            <w:pPr>
              <w:jc w:val="left"/>
            </w:pPr>
            <w:r>
              <w:rPr/>
              <w:t>40%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Playbook</dc:title>
  <dc:subject/>
  <dc:creator>Jake Morrison</dc:creator>
  <cp:keywords/>
  <dc:description/>
  <cp:lastModifiedBy>Jake Morrison</cp:lastModifiedBy>
  <cp:revision>1</cp:revision>
  <dcterms:created xsi:type="dcterms:W3CDTF">2025-09-01T10:31:00Z</dcterms:created>
  <dcterms:modified xsi:type="dcterms:W3CDTF">2026-09-03T14:20:00Z</dcterms:modified>
  <cp:category/>
</cp:coreProperties>
</file>