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REPUBLIQUE DU CAMEROUN</w:t>
      </w:r>
    </w:p>
    <w:p>
      <w:pPr>
        <w:spacing w:after="120"/>
        <w:jc w:val="center"/>
      </w:pPr>
      <w:r>
        <w:rPr>
          <w:rFonts w:ascii="Times New Roman" w:cs="Times New Roman" w:eastAsia="Times New Roman" w:hAnsi="Times New Roman"/>
          <w:sz w:val="24"/>
          <w:szCs w:val="24"/>
        </w:rPr>
        <w:t xml:space="preserve">Paix – Travail – Patrie</w:t>
      </w:r>
    </w:p>
    <w:p>
      <w:pPr>
        <w:jc w:val="center"/>
      </w:pPr>
      <w:r>
        <w:rPr>
          <w:rFonts w:ascii="Times New Roman" w:cs="Times New Roman" w:eastAsia="Times New Roman" w:hAnsi="Times New Roman"/>
          <w:b/>
          <w:bCs/>
          <w:sz w:val="24"/>
          <w:szCs w:val="24"/>
        </w:rPr>
        <w:t xml:space="preserve">MINISTERE DE L’ENSEIGNEMENT SUPERIEUR</w:t>
      </w:r>
    </w:p>
    <w:p>
      <w:pPr>
        <w:spacing w:after="120"/>
        <w:jc w:val="center"/>
      </w:pPr>
      <w:r>
        <w:rPr>
          <w:rFonts w:ascii="Times New Roman" w:cs="Times New Roman" w:eastAsia="Times New Roman" w:hAnsi="Times New Roman"/>
          <w:sz w:val="24"/>
          <w:szCs w:val="24"/>
        </w:rPr>
        <w:t xml:space="preserve">Université de Yaoundé I</w:t>
      </w:r>
    </w:p>
    <w:p>
      <w:pPr>
        <w:spacing w:after="40"/>
        <w:jc w:val="center"/>
      </w:pPr>
      <w:r>
        <w:rPr>
          <w:rFonts w:ascii="Times New Roman" w:cs="Times New Roman" w:eastAsia="Times New Roman" w:hAnsi="Times New Roman"/>
          <w:b/>
          <w:bCs/>
          <w:sz w:val="28"/>
          <w:szCs w:val="28"/>
        </w:rPr>
        <w:t xml:space="preserve">INSTITUT SAINT JEAN</w:t>
      </w:r>
    </w:p>
    <w:p>
      <w:pPr>
        <w:spacing w:after="400"/>
        <w:jc w:val="center"/>
      </w:pPr>
      <w:r>
        <w:rPr>
          <w:rFonts w:ascii="Times New Roman" w:cs="Times New Roman" w:eastAsia="Times New Roman" w:hAnsi="Times New Roman"/>
          <w:sz w:val="24"/>
          <w:szCs w:val="24"/>
          <w:highlight w:val="yellow"/>
          <w:highlightCs w:val="yellow"/>
        </w:rPr>
        <w:t xml:space="preserve">[EMPLACEMENT LOGO ISJ]</w:t>
      </w:r>
    </w:p>
    <w:p>
      <w:pPr>
        <w:spacing w:after="300"/>
        <w:jc w:val="center"/>
      </w:pPr>
      <w:r>
        <w:rPr>
          <w:rFonts w:ascii="Times New Roman" w:cs="Times New Roman" w:eastAsia="Times New Roman" w:hAnsi="Times New Roman"/>
          <w:b/>
          <w:bCs/>
          <w:sz w:val="30"/>
          <w:szCs w:val="30"/>
        </w:rPr>
        <w:t xml:space="preserve">RAPPORT DE STAGE ACADEMIQUE</w:t>
      </w:r>
    </w:p>
    <w:p>
      <w:pPr>
        <w:pBdr>
          <w:top w:val="single" w:color="2E74B5" w:sz="6"/>
          <w:bottom w:val="single" w:color="2E74B5" w:sz="6"/>
          <w:left w:val="single" w:color="2E74B5" w:sz="6"/>
          <w:right w:val="single" w:color="2E74B5" w:sz="6"/>
        </w:pBdr>
        <w:spacing w:after="200" w:before="200"/>
        <w:jc w:val="center"/>
      </w:pPr>
      <w:r>
        <w:rPr>
          <w:rFonts w:ascii="Times New Roman" w:cs="Times New Roman" w:eastAsia="Times New Roman" w:hAnsi="Times New Roman"/>
          <w:b/>
          <w:bCs/>
          <w:i/>
          <w:iCs/>
          <w:sz w:val="26"/>
          <w:szCs w:val="26"/>
        </w:rPr>
        <w:t xml:space="preserve">ArchiVision — Conception et développement d’une plateforme de modélisation d’architecture d’entreprise (ArchiMate 3.2) et d’urbanisation du système d’information pour K&amp;B Group SARL</w:t>
      </w:r>
    </w:p>
    <w:p>
      <w:pPr>
        <w:spacing w:after="400"/>
        <w:jc w:val="center"/>
      </w:pPr>
      <w:r>
        <w:rPr>
          <w:rFonts w:ascii="Times New Roman" w:cs="Times New Roman" w:eastAsia="Times New Roman" w:hAnsi="Times New Roman"/>
          <w:i/>
          <w:iCs/>
          <w:color w:val="808080"/>
          <w:sz w:val="18"/>
          <w:szCs w:val="18"/>
        </w:rPr>
        <w:t xml:space="preserve">(Titre indicatif — à ajuster si besoin)</w:t>
      </w:r>
    </w:p>
    <w:p>
      <w:pPr>
        <w:spacing w:after="160"/>
        <w:jc w:val="center"/>
      </w:pPr>
      <w:r>
        <w:rPr>
          <w:rFonts w:ascii="Times New Roman" w:cs="Times New Roman" w:eastAsia="Times New Roman" w:hAnsi="Times New Roman"/>
          <w:sz w:val="24"/>
          <w:szCs w:val="24"/>
        </w:rPr>
        <w:t xml:space="preserve">Stage effectué du </w:t>
      </w:r>
      <w:r>
        <w:rPr>
          <w:rFonts w:ascii="Times New Roman" w:cs="Times New Roman" w:eastAsia="Times New Roman" w:hAnsi="Times New Roman"/>
          <w:sz w:val="24"/>
          <w:szCs w:val="24"/>
          <w:highlight w:val="yellow"/>
          <w:highlightCs w:val="yellow"/>
        </w:rPr>
        <w:t xml:space="preserve">[date de début]</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highlight w:val="yellow"/>
          <w:highlightCs w:val="yellow"/>
        </w:rPr>
        <w:t xml:space="preserve">[date de fin]</w:t>
      </w:r>
      <w:r>
        <w:rPr>
          <w:rFonts w:ascii="Times New Roman" w:cs="Times New Roman" w:eastAsia="Times New Roman" w:hAnsi="Times New Roman"/>
          <w:sz w:val="24"/>
          <w:szCs w:val="24"/>
        </w:rPr>
        <w:t xml:space="preserve"> à Yaoundé, au sein de K&amp;B Group SARL</w:t>
      </w:r>
    </w:p>
    <w:p>
      <w:pPr>
        <w:spacing w:after="160"/>
        <w:jc w:val="center"/>
      </w:pPr>
      <w:r>
        <w:rPr>
          <w:rFonts w:ascii="Times New Roman" w:cs="Times New Roman" w:eastAsia="Times New Roman" w:hAnsi="Times New Roman"/>
          <w:sz w:val="24"/>
          <w:szCs w:val="24"/>
        </w:rPr>
        <w:t xml:space="preserve">En vue de l’obtention du </w:t>
      </w:r>
      <w:r>
        <w:rPr>
          <w:rFonts w:ascii="Times New Roman" w:cs="Times New Roman" w:eastAsia="Times New Roman" w:hAnsi="Times New Roman"/>
          <w:sz w:val="24"/>
          <w:szCs w:val="24"/>
          <w:highlight w:val="yellow"/>
          <w:highlightCs w:val="yellow"/>
        </w:rPr>
        <w:t xml:space="preserve">[Diplôme d’Ingénieur de Conception en Informatique]</w:t>
      </w:r>
    </w:p>
    <w:p>
      <w:pPr>
        <w:spacing w:after="300"/>
        <w:jc w:val="center"/>
      </w:pPr>
      <w:r>
        <w:rPr>
          <w:rFonts w:ascii="Times New Roman" w:cs="Times New Roman" w:eastAsia="Times New Roman" w:hAnsi="Times New Roman"/>
          <w:sz w:val="24"/>
          <w:szCs w:val="24"/>
        </w:rPr>
        <w:t xml:space="preserve">Option : </w:t>
      </w:r>
      <w:r>
        <w:rPr>
          <w:rFonts w:ascii="Times New Roman" w:cs="Times New Roman" w:eastAsia="Times New Roman" w:hAnsi="Times New Roman"/>
          <w:sz w:val="24"/>
          <w:szCs w:val="24"/>
          <w:highlight w:val="yellow"/>
          <w:highlightCs w:val="yellow"/>
        </w:rPr>
        <w:t xml:space="preserve">[préciser l’option]</w:t>
      </w:r>
    </w:p>
    <w:p>
      <w:pPr>
        <w:spacing w:after="80"/>
        <w:jc w:val="center"/>
      </w:pPr>
      <w:r>
        <w:rPr>
          <w:rFonts w:ascii="Times New Roman" w:cs="Times New Roman" w:eastAsia="Times New Roman" w:hAnsi="Times New Roman"/>
          <w:sz w:val="22"/>
          <w:szCs w:val="22"/>
        </w:rPr>
        <w:t xml:space="preserve">Rédigé et présenté par</w:t>
      </w:r>
    </w:p>
    <w:p>
      <w:pPr>
        <w:spacing w:after="80"/>
        <w:jc w:val="center"/>
      </w:pPr>
      <w:r>
        <w:rPr>
          <w:rFonts w:ascii="Times New Roman" w:cs="Times New Roman" w:eastAsia="Times New Roman" w:hAnsi="Times New Roman"/>
          <w:sz w:val="24"/>
          <w:szCs w:val="24"/>
          <w:highlight w:val="yellow"/>
          <w:highlightCs w:val="yellow"/>
        </w:rPr>
        <w:t xml:space="preserve">[NOM Prénoms]</w:t>
      </w:r>
    </w:p>
    <w:p>
      <w:pPr>
        <w:spacing w:after="300"/>
        <w:jc w:val="center"/>
      </w:pPr>
      <w:r>
        <w:rPr>
          <w:rFonts w:ascii="Times New Roman" w:cs="Times New Roman" w:eastAsia="Times New Roman" w:hAnsi="Times New Roman"/>
          <w:sz w:val="22"/>
          <w:szCs w:val="22"/>
        </w:rPr>
        <w:t xml:space="preserve">Étudiant(e) en Ingénieur 4</w:t>
      </w:r>
    </w:p>
    <w:p>
      <w:pPr>
        <w:spacing w:after="120"/>
        <w:jc w:val="center"/>
      </w:pPr>
      <w:r>
        <w:rPr>
          <w:rFonts w:ascii="Times New Roman" w:cs="Times New Roman" w:eastAsia="Times New Roman" w:hAnsi="Times New Roman"/>
          <w:b/>
          <w:bCs/>
          <w:sz w:val="24"/>
          <w:szCs w:val="24"/>
        </w:rPr>
        <w:t xml:space="preserve">Sous l’encadrement</w:t>
      </w:r>
    </w:p>
    <w:tbl>
      <w:tblPr>
        <w:tblW w:type="dxa" w:w="9026"/>
        <w:tblBorders>
          <w:top w:val="none"/>
          <w:left w:val="none"/>
          <w:bottom w:val="none"/>
          <w:right w:val="none"/>
          <w:insideH w:val="none"/>
          <w:insideV w:val="none"/>
        </w:tblBorders>
      </w:tblPr>
      <w:tblGrid>
        <w:gridCol w:w="4513"/>
        <w:gridCol w:w="4513"/>
      </w:tblGrid>
      <w:tr>
        <w:tc>
          <w:tcPr>
            <w:tcW w:type="dxa" w:w="4513"/>
          </w:tcPr>
          <w:p>
            <w:pPr>
              <w:jc w:val="center"/>
            </w:pPr>
            <w:r>
              <w:rPr>
                <w:rFonts w:ascii="Times New Roman" w:cs="Times New Roman" w:eastAsia="Times New Roman" w:hAnsi="Times New Roman"/>
                <w:b/>
                <w:bCs/>
                <w:sz w:val="24"/>
                <w:szCs w:val="24"/>
              </w:rPr>
              <w:t xml:space="preserve">Académique de :</w:t>
            </w:r>
          </w:p>
          <w:p>
            <w:pPr>
              <w:jc w:val="center"/>
            </w:pPr>
            <w:r>
              <w:rPr>
                <w:rFonts w:ascii="Times New Roman" w:cs="Times New Roman" w:eastAsia="Times New Roman" w:hAnsi="Times New Roman"/>
                <w:sz w:val="24"/>
                <w:szCs w:val="24"/>
                <w:highlight w:val="yellow"/>
                <w:highlightCs w:val="yellow"/>
              </w:rPr>
              <w:t xml:space="preserve">[Nom de l’encadreur académique]</w:t>
            </w:r>
          </w:p>
          <w:p>
            <w:pPr>
              <w:jc w:val="center"/>
            </w:pPr>
            <w:r>
              <w:rPr>
                <w:rFonts w:ascii="Times New Roman" w:cs="Times New Roman" w:eastAsia="Times New Roman" w:hAnsi="Times New Roman"/>
                <w:sz w:val="24"/>
                <w:szCs w:val="24"/>
                <w:highlight w:val="yellow"/>
                <w:highlightCs w:val="yellow"/>
              </w:rPr>
              <w:t xml:space="preserve">[Titre de l’encadreur académique]</w:t>
            </w:r>
          </w:p>
        </w:tc>
        <w:tc>
          <w:tcPr>
            <w:tcW w:type="dxa" w:w="4513"/>
          </w:tcPr>
          <w:p>
            <w:pPr>
              <w:jc w:val="center"/>
            </w:pPr>
            <w:r>
              <w:rPr>
                <w:rFonts w:ascii="Times New Roman" w:cs="Times New Roman" w:eastAsia="Times New Roman" w:hAnsi="Times New Roman"/>
                <w:b/>
                <w:bCs/>
                <w:sz w:val="24"/>
                <w:szCs w:val="24"/>
              </w:rPr>
              <w:t xml:space="preserve">Professionnel de :</w:t>
            </w:r>
          </w:p>
          <w:p>
            <w:pPr>
              <w:jc w:val="center"/>
            </w:pPr>
            <w:r>
              <w:rPr>
                <w:rFonts w:ascii="Times New Roman" w:cs="Times New Roman" w:eastAsia="Times New Roman" w:hAnsi="Times New Roman"/>
                <w:sz w:val="24"/>
                <w:szCs w:val="24"/>
                <w:highlight w:val="yellow"/>
                <w:highlightCs w:val="yellow"/>
              </w:rPr>
              <w:t xml:space="preserve">[Nom de l’encadreur professionnel]</w:t>
            </w:r>
          </w:p>
          <w:p>
            <w:pPr>
              <w:jc w:val="center"/>
            </w:pPr>
            <w:r>
              <w:rPr>
                <w:rFonts w:ascii="Times New Roman" w:cs="Times New Roman" w:eastAsia="Times New Roman" w:hAnsi="Times New Roman"/>
                <w:sz w:val="24"/>
                <w:szCs w:val="24"/>
                <w:highlight w:val="yellow"/>
                <w:highlightCs w:val="yellow"/>
              </w:rPr>
              <w:t xml:space="preserve">[Titre de l’encadreur professionnel]</w:t>
            </w:r>
          </w:p>
        </w:tc>
      </w:tr>
    </w:tbl>
    <w:p>
      <w:pPr>
        <w:spacing w:after="400"/>
      </w:pPr>
    </w:p>
    <w:p>
      <w:pPr>
        <w:spacing w:after="40" w:before="300"/>
        <w:jc w:val="center"/>
      </w:pPr>
      <w:r>
        <w:rPr>
          <w:rFonts w:ascii="Times New Roman" w:cs="Times New Roman" w:eastAsia="Times New Roman" w:hAnsi="Times New Roman"/>
          <w:b/>
          <w:bCs/>
          <w:sz w:val="24"/>
          <w:szCs w:val="24"/>
        </w:rPr>
        <w:t xml:space="preserve">Année Académique</w:t>
      </w:r>
    </w:p>
    <w:p>
      <w:pPr>
        <w:jc w:val="center"/>
      </w:pPr>
      <w:r>
        <w:rPr>
          <w:rFonts w:ascii="Times New Roman" w:cs="Times New Roman" w:eastAsia="Times New Roman" w:hAnsi="Times New Roman"/>
          <w:sz w:val="24"/>
          <w:szCs w:val="24"/>
          <w:highlight w:val="yellow"/>
          <w:highlightCs w:val="yellow"/>
        </w:rPr>
        <w:t xml:space="preserve">[Année Académique, ex. 2025-2026]</w:t>
      </w:r>
    </w:p>
    <w:p>
      <w:pPr>
        <w:sectPr>
          <w:pgSz w:w="11906" w:h="16838" w:orient="portrait"/>
          <w:pgMar w:top="1418" w:right="1418" w:bottom="1418" w:left="1418" w:header="708" w:footer="708" w:gutter="0"/>
          <w:pgNumType/>
          <w:docGrid w:linePitch="360"/>
        </w:sectPr>
      </w:pPr>
    </w:p>
    <w:p>
      <w:pPr>
        <w:pStyle w:val="Heading1"/>
        <w:jc w:val="center"/>
      </w:pPr>
      <w:r>
        <w:t xml:space="preserve">DÉDICACE</w:t>
      </w:r>
    </w:p>
    <w:p>
      <w:pPr>
        <w:spacing w:after="800"/>
      </w:pPr>
    </w:p>
    <w:p>
      <w:pPr>
        <w:spacing w:after="200"/>
        <w:jc w:val="center"/>
      </w:pPr>
      <w:r>
        <w:rPr>
          <w:rFonts w:ascii="Times New Roman" w:cs="Times New Roman" w:eastAsia="Times New Roman" w:hAnsi="Times New Roman"/>
          <w:sz w:val="24"/>
          <w:szCs w:val="24"/>
        </w:rPr>
        <w:t xml:space="preserve">À </w:t>
      </w:r>
      <w:r>
        <w:rPr>
          <w:rFonts w:ascii="Times New Roman" w:cs="Times New Roman" w:eastAsia="Times New Roman" w:hAnsi="Times New Roman"/>
          <w:sz w:val="24"/>
          <w:szCs w:val="24"/>
          <w:highlight w:val="yellow"/>
          <w:highlightCs w:val="yellow"/>
        </w:rPr>
        <w:t xml:space="preserve">[Nom de la personne ou de l’entité destinataire]</w:t>
      </w:r>
    </w:p>
    <w:p>
      <w:pPr>
        <w:jc w:val="center"/>
      </w:pPr>
      <w:r>
        <w:rPr>
          <w:rFonts w:ascii="Times New Roman" w:cs="Times New Roman" w:eastAsia="Times New Roman" w:hAnsi="Times New Roman"/>
          <w:sz w:val="24"/>
          <w:szCs w:val="24"/>
          <w:highlight w:val="yellow"/>
          <w:highlightCs w:val="yellow"/>
        </w:rPr>
        <w:t xml:space="preserve">[Quelques lignes personnelles — une dédicace se fait à UNE seule personne ou entité (cf. guide ISJ, p.3)]</w:t>
      </w:r>
    </w:p>
    <w:p>
      <w:r>
        <w:br w:type="page"/>
      </w:r>
    </w:p>
    <w:p>
      <w:pPr>
        <w:pStyle w:val="Heading1"/>
        <w:jc w:val="center"/>
      </w:pPr>
      <w:r>
        <w:t xml:space="preserve">REMERCIEMENTS</w:t>
      </w:r>
    </w:p>
    <w:p>
      <w:pPr>
        <w:spacing w:after="0" w:before="0" w:line="276" w:lineRule="auto"/>
        <w:ind w:firstLine="567"/>
        <w:jc w:val="both"/>
      </w:pPr>
      <w:r>
        <w:rPr>
          <w:rFonts w:ascii="Times New Roman" w:cs="Times New Roman" w:eastAsia="Times New Roman" w:hAnsi="Times New Roman"/>
          <w:sz w:val="24"/>
          <w:szCs w:val="24"/>
        </w:rPr>
        <w:t xml:space="preserve">Au terme de ce stage, nous tenons à exprimer notre profonde gratitude à toutes les personnes qui, de près ou de loin, ont contribué à la réussite de cette expérience académique et professionnelle.</w:t>
      </w:r>
    </w:p>
    <w:p>
      <w:pPr>
        <w:spacing w:line="276" w:lineRule="auto"/>
        <w:ind w:firstLine="567"/>
        <w:jc w:val="both"/>
      </w:pPr>
      <w:r>
        <w:rPr>
          <w:rFonts w:ascii="Times New Roman" w:cs="Times New Roman" w:eastAsia="Times New Roman" w:hAnsi="Times New Roman"/>
          <w:sz w:val="24"/>
          <w:szCs w:val="24"/>
        </w:rPr>
        <w:t xml:space="preserve">Nous remercions particulièrement </w:t>
      </w:r>
      <w:r>
        <w:rPr>
          <w:rFonts w:ascii="Times New Roman" w:cs="Times New Roman" w:eastAsia="Times New Roman" w:hAnsi="Times New Roman"/>
          <w:sz w:val="24"/>
          <w:szCs w:val="24"/>
          <w:highlight w:val="yellow"/>
          <w:highlightCs w:val="yellow"/>
        </w:rPr>
        <w:t xml:space="preserve">[Nom de l’encadreur académique]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[titre]</w:t>
      </w:r>
      <w:r>
        <w:rPr>
          <w:rFonts w:ascii="Times New Roman" w:cs="Times New Roman" w:eastAsia="Times New Roman" w:hAnsi="Times New Roman"/>
          <w:sz w:val="24"/>
          <w:szCs w:val="24"/>
        </w:rPr>
        <w:t xml:space="preserve">, pour l’encadrement et les conseils apportés tout au long de la rédaction de ce rapport.</w:t>
      </w:r>
    </w:p>
    <w:p>
      <w:pPr>
        <w:spacing w:line="276" w:lineRule="auto"/>
        <w:ind w:firstLine="567"/>
        <w:jc w:val="both"/>
      </w:pPr>
      <w:r>
        <w:rPr>
          <w:rFonts w:ascii="Times New Roman" w:cs="Times New Roman" w:eastAsia="Times New Roman" w:hAnsi="Times New Roman"/>
          <w:sz w:val="24"/>
          <w:szCs w:val="24"/>
        </w:rPr>
        <w:t xml:space="preserve">Nous adressons également nos sincères remerciements à </w:t>
      </w:r>
      <w:r>
        <w:rPr>
          <w:rFonts w:ascii="Times New Roman" w:cs="Times New Roman" w:eastAsia="Times New Roman" w:hAnsi="Times New Roman"/>
          <w:sz w:val="24"/>
          <w:szCs w:val="24"/>
          <w:highlight w:val="yellow"/>
          <w:highlightCs w:val="yellow"/>
        </w:rPr>
        <w:t xml:space="preserve">[Nom de l’encadreur professionnel]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[titre]</w:t>
      </w:r>
      <w:r>
        <w:rPr>
          <w:rFonts w:ascii="Times New Roman" w:cs="Times New Roman" w:eastAsia="Times New Roman" w:hAnsi="Times New Roman"/>
          <w:sz w:val="24"/>
          <w:szCs w:val="24"/>
        </w:rPr>
        <w:t xml:space="preserve">, chez K&amp;B Group SARL, ainsi qu’à M. Armand Thierry ELANGUE E., Promoteur et Président Directeur Général de K&amp;B Group SARL, pour nous avoir accueillis au sein de l’entreprise et permis de travailler sur le projet ArchiVision.</w:t>
      </w:r>
    </w:p>
    <w:p>
      <w:pPr>
        <w:spacing w:after="0" w:before="0" w:line="276" w:lineRule="auto"/>
        <w:ind w:firstLine="567"/>
        <w:jc w:val="both"/>
      </w:pPr>
      <w:r>
        <w:rPr>
          <w:rFonts w:ascii="Times New Roman" w:cs="Times New Roman" w:eastAsia="Times New Roman" w:hAnsi="Times New Roman"/>
          <w:sz w:val="24"/>
          <w:szCs w:val="24"/>
        </w:rPr>
        <w:t xml:space="preserve">Nous remercions le corps enseignant et administratif de l’Institut Saint Jean pour la qualité de la formation reçue durant ce cycle.</w:t>
      </w:r>
    </w:p>
    <w:p>
      <w:pPr>
        <w:spacing w:line="276" w:lineRule="auto"/>
        <w:ind w:firstLine="567"/>
        <w:jc w:val="both"/>
      </w:pPr>
      <w:r>
        <w:rPr>
          <w:rFonts w:ascii="Times New Roman" w:cs="Times New Roman" w:eastAsia="Times New Roman" w:hAnsi="Times New Roman"/>
          <w:sz w:val="24"/>
          <w:szCs w:val="24"/>
        </w:rPr>
        <w:t xml:space="preserve">Nous n’oublions pas </w:t>
      </w:r>
      <w:r>
        <w:rPr>
          <w:rFonts w:ascii="Times New Roman" w:cs="Times New Roman" w:eastAsia="Times New Roman" w:hAnsi="Times New Roman"/>
          <w:sz w:val="24"/>
          <w:szCs w:val="24"/>
          <w:highlight w:val="yellow"/>
          <w:highlightCs w:val="yellow"/>
        </w:rPr>
        <w:t xml:space="preserve">[famille, camarades de promotion, ou autres personnes à remercier]</w:t>
      </w:r>
      <w:r>
        <w:rPr>
          <w:rFonts w:ascii="Times New Roman" w:cs="Times New Roman" w:eastAsia="Times New Roman" w:hAnsi="Times New Roman"/>
          <w:sz w:val="24"/>
          <w:szCs w:val="24"/>
        </w:rPr>
        <w:t xml:space="preserve">, pour leur soutien constant tout au long de cette formation.</w:t>
      </w:r>
    </w:p>
    <w:p>
      <w:r>
        <w:br w:type="page"/>
      </w:r>
    </w:p>
    <w:p>
      <w:pPr>
        <w:spacing w:after="300"/>
        <w:jc w:val="center"/>
      </w:pPr>
      <w:r>
        <w:rPr>
          <w:rFonts w:ascii="Times New Roman" w:cs="Times New Roman" w:eastAsia="Times New Roman" w:hAnsi="Times New Roman"/>
          <w:b/>
          <w:bCs/>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rFonts w:ascii="Times New Roman" w:cs="Times New Roman" w:eastAsia="Times New Roman" w:hAnsi="Times New Roman"/>
          <w:i/>
          <w:iCs/>
          <w:color w:val="808080"/>
          <w:sz w:val="20"/>
          <w:szCs w:val="20"/>
        </w:rPr>
        <w:t xml:space="preserve">(Clic droit sur ce tableau dans Word → Mettre à jour les champs, une fois le document finalisé, pour que la pagination s’affiche.)</w:t>
      </w:r>
    </w:p>
    <w:p>
      <w:r>
        <w:br w:type="page"/>
      </w:r>
    </w:p>
    <w:p>
      <w:pPr>
        <w:spacing w:after="300"/>
        <w:jc w:val="center"/>
      </w:pPr>
      <w:r>
        <w:rPr>
          <w:rFonts w:ascii="Times New Roman" w:cs="Times New Roman" w:eastAsia="Times New Roman" w:hAnsi="Times New Roman"/>
          <w:b/>
          <w:bCs/>
          <w:sz w:val="30"/>
          <w:szCs w:val="30"/>
        </w:rPr>
        <w:t xml:space="preserve">LISTE DES TABLEAUX</w:t>
      </w:r>
    </w:p>
    <w:p>
      <w:pPr>
        <w:tabs>
          <w:tab w:val="right" w:pos="9026" w:leader="dot"/>
        </w:tabs>
        <w:spacing w:after="80" w:line="276" w:lineRule="auto"/>
      </w:pPr>
      <w:r>
        <w:rPr>
          <w:rFonts w:ascii="Times New Roman" w:cs="Times New Roman" w:eastAsia="Times New Roman" w:hAnsi="Times New Roman"/>
          <w:sz w:val="24"/>
          <w:szCs w:val="24"/>
        </w:rPr>
        <w:t xml:space="preserve">Tableau 1 : Fiche signalétique de K&amp;B Group SARL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Tableau 2 : Comparatif des solutions existantes de modélisation d’architecture d’entreprise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hAnsi="Times New Roman"/>
          <w:sz w:val="24"/>
        </w:rPr>
        <w:t>Tableau 3 : Échantillon représentatif des routes exposées par l’API ArchiVision (~100 routes au total, documentées sur /api/docs)</w:t>
      </w:r>
    </w:p>
    <w:p>
      <w:pPr>
        <w:tabs>
          <w:tab w:val="right" w:pos="9026" w:leader="dot"/>
        </w:tabs>
        <w:spacing w:after="80" w:line="276" w:lineRule="auto"/>
      </w:pPr>
      <w:r>
        <w:rPr>
          <w:rFonts w:ascii="Times New Roman" w:hAnsi="Times New Roman"/>
          <w:sz w:val="24"/>
        </w:rPr>
        <w:t>Tableau 4 : Couverture de tests de la solution ArchiVision (état en fin de stage)</w:t>
      </w:r>
    </w:p>
    <w:p>
      <w:r>
        <w:br w:type="page"/>
      </w:r>
    </w:p>
    <w:p>
      <w:pPr>
        <w:spacing w:after="300"/>
        <w:jc w:val="center"/>
      </w:pPr>
      <w:r>
        <w:rPr>
          <w:rFonts w:ascii="Times New Roman" w:cs="Times New Roman" w:eastAsia="Times New Roman" w:hAnsi="Times New Roman"/>
          <w:b/>
          <w:bCs/>
          <w:sz w:val="30"/>
          <w:szCs w:val="30"/>
        </w:rPr>
        <w:t xml:space="preserve">LISTE DES FIGURES</w:t>
      </w:r>
    </w:p>
    <w:p>
      <w:pPr>
        <w:tabs>
          <w:tab w:val="right" w:pos="9026" w:leader="dot"/>
        </w:tabs>
        <w:spacing w:after="80" w:line="276" w:lineRule="auto"/>
      </w:pPr>
      <w:r>
        <w:rPr>
          <w:rFonts w:ascii="Times New Roman" w:cs="Times New Roman" w:eastAsia="Times New Roman" w:hAnsi="Times New Roman"/>
          <w:sz w:val="24"/>
          <w:szCs w:val="24"/>
        </w:rPr>
        <w:t xml:space="preserve">Figure 1 : Organigramme fonctionnel de K&amp;B Group SARL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Figure 2 : Modèle de données (schéma entité-association) du référentiel ArchiVision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Figure 3 : Vue ArchiMate générée de la couche Métier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tabs>
          <w:tab w:val="right" w:pos="9026" w:leader="dot"/>
        </w:tabs>
        <w:spacing w:after="80" w:line="276" w:lineRule="auto"/>
      </w:pPr>
      <w:r>
        <w:rPr>
          <w:rFonts w:ascii="Times New Roman" w:cs="Times New Roman" w:eastAsia="Times New Roman" w:hAnsi="Times New Roman"/>
          <w:sz w:val="24"/>
          <w:szCs w:val="24"/>
        </w:rPr>
        <w:t xml:space="preserve">Figure 4 : Plan d’Occupation des Sols (POS) généré par ArchiVision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w:t>
      </w:r>
    </w:p>
    <w:p>
      <w:pPr>
        <w:spacing w:before="200" w:line="276" w:lineRule="auto"/>
      </w:pPr>
      <w:r>
        <w:rPr>
          <w:rFonts w:ascii="Times New Roman" w:cs="Times New Roman" w:eastAsia="Times New Roman" w:hAnsi="Times New Roman"/>
          <w:i/>
          <w:iCs/>
          <w:color w:val="808080"/>
          <w:sz w:val="20"/>
          <w:szCs w:val="20"/>
        </w:rPr>
        <w:t xml:space="preserve">Les figures 3 et 4 correspondent à des captures d’écran des vues SVG générées par l’application en fonctionnement : à insérer une fois l’application démarrée localement (voir README du projet).</w:t>
      </w:r>
    </w:p>
    <w:p>
      <w:r>
        <w:br w:type="page"/>
      </w:r>
    </w:p>
    <w:p>
      <w:pPr>
        <w:spacing w:after="300"/>
        <w:jc w:val="center"/>
      </w:pPr>
      <w:r>
        <w:rPr>
          <w:rFonts w:ascii="Times New Roman" w:cs="Times New Roman" w:eastAsia="Times New Roman" w:hAnsi="Times New Roman"/>
          <w:b/>
          <w:bCs/>
          <w:sz w:val="30"/>
          <w:szCs w:val="30"/>
        </w:rPr>
        <w:t xml:space="preserve">LISTE DES ABRÉVIATIONS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Sigle</w:t>
            </w:r>
          </w:p>
        </w:tc>
        <w:tc>
          <w:tcPr>
            <w:tcW w:type="dxa" w:w="72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Signification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ISJ</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Institut Saint Jean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API</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Application Programming Interface (interface de programmation applicative)</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REST</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Representational State Transfer</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CRUD</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Create, Read, Update, Delete (créer, lire, modifier, supprimer)</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DTO</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Data Transfer Object (objet de transfert de données)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ORM</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Object-Relational Mapping (mapping objet-relationnel)</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JWT</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JSON Web Token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SGBD</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Système de Gestion de Base de Données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SQL</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Structured Query Language</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POS</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Plan d’Occupation des Sols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SVG</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Scalable Vector Graphics</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HTTP</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HyperText Transfer Protocol</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JSON</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JavaScript Object Notation</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TOGAF</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The Open Group Architecture Framework</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PDG</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Président Directeur Général</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SARL</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Société à Responsabilité Limitée</w:t>
            </w:r>
          </w:p>
        </w:tc>
      </w:tr>
      <w:tr>
        <w:tc>
          <w:tcPr>
            <w:tcW w:type="dxa" w:w="18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CTI</w:t>
            </w:r>
          </w:p>
        </w:tc>
        <w:tc>
          <w:tcPr>
            <w:tcW w:type="dxa" w:w="7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Commission des Titres d’Ingénieur</w:t>
            </w:r>
          </w:p>
        </w:tc>
      </w:tr>
      <w:tr>
        <w:tc>
          <w:tcPr>
            <w:tcW w:type="dxa" w:w="1800"/>
          </w:tcPr>
          <w:p>
            <w:r>
              <w:t>ADM</w:t>
            </w:r>
          </w:p>
        </w:tc>
        <w:tc>
          <w:tcPr>
            <w:tcW w:type="dxa" w:w="7226"/>
          </w:tcPr>
          <w:p>
            <w:r>
              <w:t>Architecture Development Method (méthode de développement de l’architecture, TOGAF)</w:t>
            </w:r>
          </w:p>
        </w:tc>
      </w:tr>
      <w:tr>
        <w:tc>
          <w:tcPr>
            <w:tcW w:type="dxa" w:w="1800"/>
          </w:tcPr>
          <w:p>
            <w:r>
              <w:t>RBAC</w:t>
            </w:r>
          </w:p>
        </w:tc>
        <w:tc>
          <w:tcPr>
            <w:tcW w:type="dxa" w:w="7226"/>
          </w:tcPr>
          <w:p>
            <w:r>
              <w:t>Role-Based Access Control (contrôle d’accès par rôle)</w:t>
            </w:r>
          </w:p>
        </w:tc>
      </w:tr>
      <w:tr>
        <w:tc>
          <w:tcPr>
            <w:tcW w:type="dxa" w:w="1800"/>
          </w:tcPr>
          <w:p>
            <w:r>
              <w:t>CSRF</w:t>
            </w:r>
          </w:p>
        </w:tc>
        <w:tc>
          <w:tcPr>
            <w:tcW w:type="dxa" w:w="7226"/>
          </w:tcPr>
          <w:p>
            <w:r>
              <w:t>Cross-Site Request Forgery (falsification de requête intersite)</w:t>
            </w:r>
          </w:p>
        </w:tc>
      </w:tr>
      <w:tr>
        <w:tc>
          <w:tcPr>
            <w:tcW w:type="dxa" w:w="1800"/>
          </w:tcPr>
          <w:p>
            <w:r>
              <w:t>CI/CD</w:t>
            </w:r>
          </w:p>
        </w:tc>
        <w:tc>
          <w:tcPr>
            <w:tcW w:type="dxa" w:w="7226"/>
          </w:tcPr>
          <w:p>
            <w:r>
              <w:t>Continuous Integration / Continuous Deployment (intégration et déploiement continus)</w:t>
            </w:r>
          </w:p>
        </w:tc>
      </w:tr>
    </w:tbl>
    <w:p>
      <w:r>
        <w:br w:type="page"/>
      </w:r>
    </w:p>
    <w:p>
      <w:pPr>
        <w:spacing w:after="300"/>
        <w:jc w:val="center"/>
      </w:pPr>
      <w:r>
        <w:rPr>
          <w:rFonts w:ascii="Times New Roman" w:cs="Times New Roman" w:eastAsia="Times New Roman" w:hAnsi="Times New Roman"/>
          <w:b/>
          <w:bCs/>
          <w:sz w:val="30"/>
          <w:szCs w:val="30"/>
        </w:rPr>
        <w:t xml:space="preserve">AVANT-PROPOS</w:t>
      </w:r>
    </w:p>
    <w:p>
      <w:pPr>
        <w:spacing w:after="0" w:before="0" w:line="276" w:lineRule="auto"/>
        <w:ind w:firstLine="567"/>
        <w:jc w:val="both"/>
      </w:pPr>
      <w:r>
        <w:rPr>
          <w:rFonts w:ascii="Times New Roman" w:cs="Times New Roman" w:eastAsia="Times New Roman" w:hAnsi="Times New Roman"/>
          <w:sz w:val="24"/>
          <w:szCs w:val="24"/>
        </w:rPr>
        <w:t xml:space="preserve">L’Institut Saint Jean (ISJ), également dénommé Saint Jean Ingénieur, est un établissement privé d’enseignement supérieur camerounais créé en 2016. Placé sous la tutelle de l’École Nationale Supérieure Polytechnique de Yaoundé (Polytech Yaoundé) et adossé à l’Université de Yaoundé I, l’ISJ forme des ingénieurs et des titulaires de licences professionnelles selon une approche par compétences visant une insertion professionnelle rapide et de qualité.</w:t>
      </w:r>
    </w:p>
    <w:p>
      <w:pPr>
        <w:spacing w:after="0" w:before="0" w:line="276" w:lineRule="auto"/>
        <w:ind w:firstLine="567"/>
        <w:jc w:val="both"/>
      </w:pPr>
      <w:r>
        <w:rPr>
          <w:rFonts w:ascii="Times New Roman" w:cs="Times New Roman" w:eastAsia="Times New Roman" w:hAnsi="Times New Roman"/>
          <w:sz w:val="24"/>
          <w:szCs w:val="24"/>
        </w:rPr>
        <w:t xml:space="preserve">L’établissement a obtenu l’accréditation de la Commission des Titres d’Ingénieur (CTI) ainsi que le label européen EUR-ACE, faisant de lui la première Institution Privée d’Enseignement Supérieur (IPES) camerounaise, et l’une des toutes premières écoles privées d’Afrique subsaharienne, à bénéficier de cette reconnaissance internationale. Cette accréditation, obtenue pour cinq ans, permet aux diplômés du cycle Ingénieur de se prévaloir du titre d’Ingénieur diplômé de l’État français (Graduate Engineer), en plus du diplôme camerounais.</w:t>
      </w:r>
    </w:p>
    <w:p>
      <w:pPr>
        <w:spacing w:after="0" w:before="0" w:line="276" w:lineRule="auto"/>
        <w:ind w:firstLine="567"/>
        <w:jc w:val="both"/>
      </w:pPr>
      <w:r>
        <w:rPr>
          <w:rFonts w:ascii="Times New Roman" w:cs="Times New Roman" w:eastAsia="Times New Roman" w:hAnsi="Times New Roman"/>
          <w:sz w:val="24"/>
          <w:szCs w:val="24"/>
        </w:rPr>
        <w:t xml:space="preserve">Les formations du cycle Ingénieur et de la Licence professionnelle sont dispensées en français et en anglais, tandis que le cycle Master professionnel est proposé en français, y compris en cours du soir. L’ISJ entretient des partenariats académiques avec plusieurs écoles d’ingénieurs françaises et internationales, parmi lesquelles l’Université de Technologie de Troyes (UTT), 3IL, l’ISEP, l’EFREI, l’EPF, l’UMONS, l’ESTP, le CESI, l’INP Grenoble, l’INP Clermont, l’ESME, l’ESIEA, Builders, l’UTBM, ainsi que l’Ontario Tech University et le Northern Alberta Institute of Technology.</w:t>
      </w:r>
    </w:p>
    <w:p>
      <w:pPr>
        <w:spacing w:after="0" w:before="0" w:line="276" w:lineRule="auto"/>
        <w:ind w:firstLine="567"/>
        <w:jc w:val="both"/>
      </w:pPr>
      <w:r>
        <w:rPr>
          <w:rFonts w:ascii="Times New Roman" w:cs="Times New Roman" w:eastAsia="Times New Roman" w:hAnsi="Times New Roman"/>
          <w:sz w:val="24"/>
          <w:szCs w:val="24"/>
        </w:rPr>
        <w:t xml:space="preserve">Le présent rapport s’inscrit dans le cadre du stage académique de fin de cycle Ingénieur 4, effectué au sein de l’entreprise K&amp;B Group SARL.</w:t>
      </w:r>
    </w:p>
    <w:p>
      <w:pPr>
        <w:sectPr>
          <w:footerReference w:type="default" r:id="rId7"/>
          <w:pgSz w:w="11906" w:h="16838" w:orient="portrait"/>
          <w:pgMar w:top="1418" w:right="1418" w:bottom="1418" w:left="1418" w:header="708" w:footer="708" w:gutter="0"/>
          <w:pgNumType w:start="1" w:fmt="lowerRoman"/>
          <w:docGrid w:linePitch="360"/>
        </w:sectPr>
      </w:pPr>
    </w:p>
    <w:p>
      <w:pPr>
        <w:pStyle w:val="Heading1"/>
      </w:pPr>
      <w:r>
        <w:t xml:space="preserve">INTRODUCTION GÉNÉRALE</w:t>
      </w:r>
    </w:p>
    <w:p>
      <w:pPr>
        <w:spacing w:after="0" w:before="0" w:line="276" w:lineRule="auto"/>
        <w:ind w:firstLine="567"/>
        <w:jc w:val="both"/>
      </w:pPr>
      <w:r>
        <w:rPr>
          <w:rFonts w:ascii="Times New Roman" w:cs="Times New Roman" w:eastAsia="Times New Roman" w:hAnsi="Times New Roman"/>
          <w:sz w:val="24"/>
          <w:szCs w:val="24"/>
        </w:rPr>
        <w:t xml:space="preserve">Les entreprises camerounaises, à l’instar de celles du reste du continent, évoluent dans un environnement économique de plus en plus complexe, marqué par la multiplication des systèmes d’information, la diversification des activités et la nécessité d’aligner les ressources technologiques sur la stratégie métier. Cette complexité croissante rend indispensable une vision claire et structurée de l’architecture globale de l’entreprise : ses processus, ses applications, ses ressources et les liens qui les unissent.</w:t>
      </w:r>
    </w:p>
    <w:p>
      <w:pPr>
        <w:spacing w:line="276" w:lineRule="auto"/>
        <w:ind w:firstLine="567"/>
        <w:jc w:val="both"/>
      </w:pPr>
      <w:r>
        <w:rPr>
          <w:rFonts w:ascii="Times New Roman" w:cs="Times New Roman" w:eastAsia="Times New Roman" w:hAnsi="Times New Roman"/>
          <w:sz w:val="24"/>
          <w:szCs w:val="24"/>
        </w:rPr>
        <w:t xml:space="preserve">C’est dans ce contexte que s’inscrit notre stage académique de fin de cycle Ingénieur 4, effectué du </w:t>
      </w:r>
      <w:r>
        <w:rPr>
          <w:rFonts w:ascii="Times New Roman" w:cs="Times New Roman" w:eastAsia="Times New Roman" w:hAnsi="Times New Roman"/>
          <w:sz w:val="24"/>
          <w:szCs w:val="24"/>
          <w:highlight w:val="yellow"/>
          <w:highlightCs w:val="yellow"/>
        </w:rPr>
        <w:t xml:space="preserve">[date de début]</w:t>
      </w:r>
      <w:r>
        <w:rPr>
          <w:rFonts w:ascii="Times New Roman" w:cs="Times New Roman" w:eastAsia="Times New Roman" w:hAnsi="Times New Roman"/>
          <w:sz w:val="24"/>
          <w:szCs w:val="24"/>
        </w:rPr>
        <w:t xml:space="preserve"> au </w:t>
      </w:r>
      <w:r>
        <w:rPr>
          <w:rFonts w:ascii="Times New Roman" w:cs="Times New Roman" w:eastAsia="Times New Roman" w:hAnsi="Times New Roman"/>
          <w:sz w:val="24"/>
          <w:szCs w:val="24"/>
          <w:highlight w:val="yellow"/>
          <w:highlightCs w:val="yellow"/>
        </w:rPr>
        <w:t xml:space="preserve">[date de fin]</w:t>
      </w:r>
      <w:r>
        <w:rPr>
          <w:rFonts w:ascii="Times New Roman" w:cs="Times New Roman" w:eastAsia="Times New Roman" w:hAnsi="Times New Roman"/>
          <w:sz w:val="24"/>
          <w:szCs w:val="24"/>
        </w:rPr>
        <w:t xml:space="preserve"> au sein de K&amp;B Group SARL, entreprise camerounaise spécialisée dans le développement des compétences, l’accompagnement organisationnel et l’innovation digitale, à travers son pôle K&amp;B Digital Lab.</w:t>
      </w:r>
    </w:p>
    <w:p>
      <w:pPr>
        <w:spacing w:after="0" w:before="0" w:line="276" w:lineRule="auto"/>
        <w:ind w:firstLine="567"/>
        <w:jc w:val="both"/>
      </w:pPr>
      <w:r>
        <w:rPr>
          <w:rFonts w:ascii="Times New Roman" w:cs="Times New Roman" w:eastAsia="Times New Roman" w:hAnsi="Times New Roman"/>
          <w:sz w:val="24"/>
          <w:szCs w:val="24"/>
        </w:rPr>
        <w:t xml:space="preserve">Nous entendons par architecture d’entreprise la discipline qui consiste à décrire, de manière structurée et cohérente, les différentes couches d’une organisation (stratégie, métier, applications, technologie) ainsi que les relations qui les unissent, dans le but d’aligner le système d’information sur les objectifs de l’entreprise. ArchiMate, standard porté par The Open Group, est le langage de modélisation graphique normalisé retenu pour cette discipline ; il complète le cadre méthodologique TOGAF. L’urbanisation des systèmes d’information, quant à elle, désigne l’organisation du système d’information en zones, quartiers et îlots, par analogie avec l’urbanisme d’une ville, afin d’en maîtriser la complexité et l’évolution.</w:t>
      </w:r>
    </w:p>
    <w:p>
      <w:pPr>
        <w:spacing w:after="0" w:before="0" w:line="276" w:lineRule="auto"/>
        <w:ind w:firstLine="567"/>
        <w:jc w:val="both"/>
      </w:pPr>
      <w:r>
        <w:rPr>
          <w:rFonts w:ascii="Times New Roman" w:cs="Times New Roman" w:eastAsia="Times New Roman" w:hAnsi="Times New Roman"/>
          <w:sz w:val="24"/>
          <w:szCs w:val="24"/>
        </w:rPr>
        <w:t xml:space="preserve">Se pose alors la problématique suivante : comment permettre à une structure d’accompagnement organisationnel comme K&amp;B Digital Lab de modéliser, documenter et faire évoluer de façon rigoureuse l’architecture métier et le portefeuille applicatif des organisations qu’elle accompagne, sans dépendre d’outils commerciaux coûteux ou inadaptés au contexte local ?</w:t>
      </w:r>
    </w:p>
    <w:p>
      <w:pPr>
        <w:spacing w:after="0" w:before="0" w:line="276" w:lineRule="auto"/>
        <w:ind w:firstLine="567"/>
        <w:jc w:val="both"/>
      </w:pPr>
      <w:r>
        <w:rPr>
          <w:rFonts w:ascii="Times New Roman" w:cs="Times New Roman" w:eastAsia="Times New Roman" w:hAnsi="Times New Roman"/>
          <w:sz w:val="24"/>
          <w:szCs w:val="24"/>
        </w:rPr>
        <w:t xml:space="preserve">Ce travail présente un double intérêt. Pour K&amp;B Group, il fournit un outil interne, adapté à ses méthodes de travail, permettant de structurer ses missions de conseil et d’audit organisationnel autour d’un référentiel d’architecture d’entreprise conforme au standard ArchiMate 3.2. Pour nous-mêmes, il constitue une mise en pratique concrète des enseignements reçus à l’ISJ en matière de conception logicielle, d’architecture applicative et de gestion de projet.</w:t>
      </w:r>
    </w:p>
    <w:p>
      <w:pPr>
        <w:spacing w:after="0" w:before="0" w:line="276" w:lineRule="auto"/>
        <w:ind w:firstLine="567"/>
        <w:jc w:val="both"/>
      </w:pPr>
      <w:r>
        <w:rPr>
          <w:rFonts w:ascii="Times New Roman" w:cs="Times New Roman" w:eastAsia="Times New Roman" w:hAnsi="Times New Roman"/>
          <w:sz w:val="24"/>
          <w:szCs w:val="24"/>
        </w:rPr>
        <w:t xml:space="preserve">L’objectif général de ce travail est donc de concevoir et développer une plateforme logicielle, dénommée ArchiVision, permettant la modélisation de l’architecture d’entreprise selon le référentiel ArchiMate 3.2 (couche Métier) et l’urbanisation du système d’information. Plus spécifiquement, il s’agit de mettre en place un référentiel de données fidèle aux concepts d’organisation, de capacité métier, d’élément et de relation ArchiMate ; de développer une interface de programmation (API) sécurisée exposant ce référentiel ; de permettre la visualisation graphique des architectures modélisées ; et de garantir la fiabilité de la solution par une couverture de tests appropriée.</w:t>
      </w:r>
    </w:p>
    <w:p>
      <w:pPr>
        <w:spacing w:after="0" w:before="0" w:line="276" w:lineRule="auto"/>
        <w:ind w:firstLine="567"/>
        <w:jc w:val="both"/>
      </w:pPr>
      <w:r>
        <w:rPr>
          <w:rFonts w:ascii="Times New Roman" w:cs="Times New Roman" w:eastAsia="Times New Roman" w:hAnsi="Times New Roman"/>
          <w:sz w:val="24"/>
          <w:szCs w:val="24"/>
        </w:rPr>
        <w:t xml:space="preserve">Pour répondre à cette problématique, notre travail s’articule autour de trois chapitres. Le premier présente l’entreprise K&amp;B Group SARL et le déroulement de notre stage en son sein. Le second identifie précisément le problème traité ainsi que les solutions existantes et leurs limites. Le troisième présente la solution logicielle proposée, ArchiVision, ainsi que la démarche et le langage de modélisation retenus pour sa conception.</w:t>
      </w:r>
    </w:p>
    <w:p>
      <w:r>
        <w:br w:type="page"/>
      </w:r>
    </w:p>
    <w:p>
      <w:pPr>
        <w:pStyle w:val="Heading1"/>
      </w:pPr>
      <w:r>
        <w:t xml:space="preserve">CHAPITRE 1 : PRÉSENTATION DE L’ENTREPRISE ET DÉROULEMENT DU STAGE</w:t>
      </w:r>
    </w:p>
    <w:p>
      <w:pPr>
        <w:spacing w:after="0" w:before="0" w:line="276" w:lineRule="auto"/>
        <w:ind w:firstLine="567"/>
        <w:jc w:val="both"/>
      </w:pPr>
      <w:r>
        <w:rPr>
          <w:rFonts w:ascii="Times New Roman" w:cs="Times New Roman" w:eastAsia="Times New Roman" w:hAnsi="Times New Roman"/>
          <w:sz w:val="24"/>
          <w:szCs w:val="24"/>
        </w:rPr>
        <w:t xml:space="preserve">Ce premier chapitre présente, dans une première section, l’entreprise K&amp;B Group SARL dans son environnement ainsi que le pôle d’activité au sein duquel notre stage s’est déroulé. Il décrit, dans une seconde section, le déroulement concret de ce stage : notre intégration, les tâches réalisées et les difficultés rencontrées.</w:t>
      </w:r>
    </w:p>
    <w:p>
      <w:pPr>
        <w:pStyle w:val="Heading2"/>
      </w:pPr>
      <w:r>
        <w:t xml:space="preserve">1.1. Présentation de K&amp;B Group SARL</w:t>
      </w:r>
    </w:p>
    <w:p>
      <w:pPr>
        <w:pStyle w:val="Heading3"/>
      </w:pPr>
      <w:r>
        <w:t xml:space="preserve">1.1.1. Fiche signalétique</w:t>
      </w:r>
    </w:p>
    <w:p>
      <w:pPr>
        <w:spacing w:after="0" w:before="0" w:line="276" w:lineRule="auto"/>
        <w:ind w:firstLine="567"/>
        <w:jc w:val="both"/>
      </w:pPr>
      <w:r>
        <w:rPr>
          <w:rFonts w:ascii="Times New Roman" w:cs="Times New Roman" w:eastAsia="Times New Roman" w:hAnsi="Times New Roman"/>
          <w:sz w:val="24"/>
          <w:szCs w:val="24"/>
        </w:rPr>
        <w:t xml:space="preserve">K&amp;B Group SARL est une entreprise camerounaise, basée à Yaoundé, spécialisée dans le développement des compétences, l’accompagnement organisationnel et l’innovation digitale. Le tableau ci-dessous en présente les principales caractéristiques.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Champ</w:t>
            </w:r>
          </w:p>
        </w:tc>
        <w:tc>
          <w:tcPr>
            <w:tcW w:type="dxa" w:w="58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Valeur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Nom complet</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K&amp;B Group SARL</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Sigle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K&amp;B</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Forme juridique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Société à Responsabilité Limitée (SARL)</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Siège social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ESSOS, Avenue Germaine, Yaoundé, Cameroun</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Téléphones</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+237 622 144 633 / +237 679 862 401</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E-mail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contact@kbgroupesarl.com</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Site Internet</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www.kbgroupesarl.com</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Promoteur &amp; Directeur Général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M. Armand Thierry ELANGUE E. (Promoteur &amp; Président Directeur Général)</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Secteur d’activité</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Formation professionnelle et certifiante, conseil en organisation, développement de solutions digitales</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Pôles d’activité</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K&amp;B Training Center, K&amp;B Management, K&amp;B Digital Lab</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Année de création</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Capital social</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N° Registre de commerce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N° Contribuable</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r>
        <w:tc>
          <w:tcPr>
            <w:tcW w:type="dxa" w:w="32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Effectifs</w:t>
            </w:r>
          </w:p>
        </w:tc>
        <w:tc>
          <w:tcPr>
            <w:tcW w:type="dxa" w:w="58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[à compléter]</w:t>
            </w:r>
          </w:p>
        </w:tc>
      </w:tr>
    </w:tbl>
    <w:p>
      <w:pPr>
        <w:spacing w:after="240" w:before="120" w:line="276" w:lineRule="auto"/>
        <w:jc w:val="center"/>
      </w:pPr>
      <w:r>
        <w:rPr>
          <w:rFonts w:ascii="Times New Roman" w:cs="Times New Roman" w:eastAsia="Times New Roman" w:hAnsi="Times New Roman"/>
          <w:b/>
          <w:bCs/>
          <w:sz w:val="22"/>
          <w:szCs w:val="22"/>
        </w:rPr>
        <w:t xml:space="preserve">Tableau 1 : Fiche signalétique de K&amp;B Group SARL</w:t>
      </w:r>
    </w:p>
    <w:p>
      <w:pPr>
        <w:pStyle w:val="Heading3"/>
      </w:pPr>
      <w:r>
        <w:t xml:space="preserve">1.1.2. Historique et mission</w:t>
      </w:r>
    </w:p>
    <w:p>
      <w:pPr>
        <w:spacing w:after="0" w:before="0" w:line="276" w:lineRule="auto"/>
        <w:ind w:firstLine="567"/>
        <w:jc w:val="both"/>
      </w:pPr>
      <w:r>
        <w:rPr>
          <w:rFonts w:ascii="Times New Roman" w:cs="Times New Roman" w:eastAsia="Times New Roman" w:hAnsi="Times New Roman"/>
          <w:sz w:val="24"/>
          <w:szCs w:val="24"/>
        </w:rPr>
        <w:t xml:space="preserve">K&amp;B Group SARL est né de la volonté de son promoteur, M. Armand Thierry ELANGUE E., de contribuer activement au développement du capital humain et à la transformation des organisations à travers des solutions utiles, concrètes et adaptées aux réalités camerounaises et sous-régionales. L’entreprise se fixe pour mission de former, d’accompagner et d’innover afin de créer une valeur durable, à travers le développement de compétences professionnelles et certifiantes, l’accompagnement des organisations dans leur structuration et leur performance, et la conception de solutions digitales innovantes adaptées aux besoins du marché.</w:t>
      </w:r>
    </w:p>
    <w:p>
      <w:pPr>
        <w:spacing w:after="0" w:before="0" w:line="276" w:lineRule="auto"/>
        <w:ind w:firstLine="567"/>
        <w:jc w:val="both"/>
      </w:pPr>
      <w:r>
        <w:rPr>
          <w:rFonts w:ascii="Times New Roman" w:cs="Times New Roman" w:eastAsia="Times New Roman" w:hAnsi="Times New Roman"/>
          <w:sz w:val="24"/>
          <w:szCs w:val="24"/>
        </w:rPr>
        <w:t xml:space="preserve">Sa vision est de devenir une référence en matière de développement des compétences, de transformation organisationnelle et d’innovation digitale en Afrique, en bâtissant un écosystème où formation, expertise et technologie convergent pour produire des professionnels performants et des organisations durables. Ses valeurs affichées sont l’excellence, l’innovation, la performance, l’intégrité et l’engagement.</w:t>
      </w:r>
    </w:p>
    <w:p>
      <w:pPr>
        <w:pStyle w:val="Heading3"/>
      </w:pPr>
      <w:r>
        <w:t xml:space="preserve">1.1.3. Organisation et pôles d’activité</w:t>
      </w:r>
    </w:p>
    <w:p>
      <w:pPr>
        <w:spacing w:after="0" w:before="0" w:line="276" w:lineRule="auto"/>
        <w:ind w:firstLine="567"/>
        <w:jc w:val="both"/>
      </w:pPr>
      <w:r>
        <w:rPr>
          <w:rFonts w:ascii="Times New Roman" w:cs="Times New Roman" w:eastAsia="Times New Roman" w:hAnsi="Times New Roman"/>
          <w:sz w:val="24"/>
          <w:szCs w:val="24"/>
        </w:rPr>
        <w:t xml:space="preserve">L’activité de K&amp;B Group SARL repose sur trois pôles stratégiques complémentaires.</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K&amp;B Training Center : dédié à la formation professionnelle présentielle et aux certifications (préparation aux certifications internationales, bureautique, intelligence artificielle, formations métiers).</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K&amp;B Management : spécialisé dans le conseil, la performance et l’accompagnement organisationnel des entreprises (audit organisationnel, optimisation des processus, transformation digitale).</w:t>
      </w:r>
    </w:p>
    <w:p>
      <w:pPr>
        <w:pStyle w:val="ListParagraph"/>
        <w:numPr>
          <w:ilvl w:val="0"/>
          <w:numId w:val="1"/>
        </w:numPr>
        <w:spacing w:after="60" w:line="276" w:lineRule="auto"/>
        <w:jc w:val="both"/>
      </w:pPr>
      <w:r>
        <w:rPr>
          <w:rFonts w:ascii="Times New Roman" w:cs="Times New Roman" w:eastAsia="Times New Roman" w:hAnsi="Times New Roman"/>
          <w:sz w:val="24"/>
          <w:szCs w:val="24"/>
        </w:rPr>
        <w:t xml:space="preserve">K&amp;B Digital Lab : laboratoire d’innovation dédié au développement de solutions digitales et à l’intégration informatique (développement web et mobile, conception de plateformes digitales, solutions informatiques sur mesure).</w:t>
      </w:r>
    </w:p>
    <w:p>
      <w:pPr>
        <w:spacing w:after="200" w:before="200"/>
        <w:jc w:val="center"/>
      </w:pPr>
      <w:r>
        <w:rPr>
          <w:rFonts w:ascii="Times New Roman" w:cs="Times New Roman" w:eastAsia="Times New Roman" w:hAnsi="Times New Roman"/>
          <w:sz w:val="24"/>
          <w:szCs w:val="24"/>
          <w:highlight w:val="yellow"/>
          <w:highlightCs w:val="yellow"/>
        </w:rPr>
        <w:t xml:space="preserve">[Figure 1 : Organigramme fonctionnel de K&amp;B Group SARL — à insérer si disponible]</w:t>
      </w:r>
    </w:p>
    <w:p>
      <w:pPr>
        <w:pStyle w:val="Heading3"/>
      </w:pPr>
      <w:r>
        <w:t xml:space="preserve">1.1.4. Le service d’accueil : K&amp;B Digital Lab</w:t>
      </w:r>
    </w:p>
    <w:p>
      <w:pPr>
        <w:spacing w:after="0" w:before="0" w:line="276" w:lineRule="auto"/>
        <w:ind w:firstLine="567"/>
        <w:jc w:val="both"/>
      </w:pPr>
      <w:r>
        <w:rPr>
          <w:rFonts w:ascii="Times New Roman" w:cs="Times New Roman" w:eastAsia="Times New Roman" w:hAnsi="Times New Roman"/>
          <w:sz w:val="24"/>
          <w:szCs w:val="24"/>
        </w:rPr>
        <w:t xml:space="preserve">Notre stage s’est déroulé au sein du pôle K&amp;B Digital Lab. Ce pôle conçoit des plateformes digitales adaptées aux réalités locales et aux besoins du marché ; il constitue le bras technologique de K&amp;B Group et intervient en support des deux autres pôles, notamment de K&amp;B Management, dont les missions de conseil et d’audit organisationnel nécessitent des outils numériques structurés pour formaliser et exploiter leurs livrables.</w:t>
      </w:r>
    </w:p>
    <w:p>
      <w:pPr>
        <w:spacing w:line="276" w:lineRule="auto"/>
        <w:ind w:firstLine="567"/>
        <w:jc w:val="both"/>
      </w:pPr>
      <w:r>
        <w:rPr>
          <w:rFonts w:ascii="Times New Roman" w:cs="Times New Roman" w:eastAsia="Times New Roman" w:hAnsi="Times New Roman"/>
          <w:sz w:val="24"/>
          <w:szCs w:val="24"/>
        </w:rPr>
        <w:t xml:space="preserve">L’équipe technique au sein de laquelle nous avons évolué se compose de </w:t>
      </w:r>
      <w:r>
        <w:rPr>
          <w:rFonts w:ascii="Times New Roman" w:cs="Times New Roman" w:eastAsia="Times New Roman" w:hAnsi="Times New Roman"/>
          <w:sz w:val="24"/>
          <w:szCs w:val="24"/>
          <w:highlight w:val="yellow"/>
          <w:highlightCs w:val="yellow"/>
        </w:rPr>
        <w:t xml:space="preserve">[description de l’équipe : nombre de personnes, rôles]</w:t>
      </w:r>
    </w:p>
    <w:p>
      <w:pPr>
        <w:pStyle w:val="Heading2"/>
      </w:pPr>
      <w:r>
        <w:t xml:space="preserve">1.2. Déroulement du stage</w:t>
      </w:r>
    </w:p>
    <w:p>
      <w:pPr>
        <w:pStyle w:val="Heading3"/>
      </w:pPr>
      <w:r>
        <w:t xml:space="preserve">1.2.1. Accueil et intégration</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[Décrire ici l’accueil reçu le premier jour, la présentation de l’équipe, les consignes de sécurité/règlement intérieur éventuelles, la remise du poste de travail, etc.]</w:t>
      </w:r>
    </w:p>
    <w:p>
      <w:pPr>
        <w:pStyle w:val="Heading3"/>
      </w:pPr>
      <w:r>
        <w:t xml:space="preserve">1.2.2. Méthodologie et environnement de travail</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[Préciser ici le cadre de travail réel : réunions de suivi, points hebdomadaires, travail autonome avec validations régulières, etc.]</w:t>
      </w:r>
    </w:p>
    <w:p>
      <w:pPr>
        <w:spacing w:after="0" w:before="0" w:line="276" w:lineRule="auto"/>
        <w:ind w:firstLine="567"/>
        <w:jc w:val="both"/>
      </w:pPr>
      <w:r>
        <w:rPr>
          <w:rFonts w:ascii="Times New Roman" w:cs="Times New Roman" w:eastAsia="Times New Roman" w:hAnsi="Times New Roman"/>
          <w:sz w:val="24"/>
          <w:szCs w:val="24"/>
        </w:rPr>
        <w:t xml:space="preserve">Sur le plan technique, le développement de la solution a été mené selon une démarche itérative : mise en place progressive du référentiel de données, développement des fonctionnalités module par module, validation par des tests automatisés à chaque étape, puis documentation. Les outils suivants ont été mobilisés tout au long du stage : Node.js et NestJS pour le développement du service applicatif, PostgreSQL et Prisma pour la persistance des données, Git pour la gestion de versions, Postman pour les tests manuels des routes de l’API, ainsi que Jest pour les tests automatisés.</w:t>
      </w:r>
    </w:p>
    <w:p>
      <w:pPr>
        <w:pStyle w:val="Heading3"/>
      </w:pPr>
      <w:r>
        <w:t xml:space="preserve">1.2.3. Tâches effectuées</w:t>
      </w:r>
    </w:p>
    <w:p>
      <w:pPr>
        <w:spacing w:after="0" w:before="0" w:line="276" w:lineRule="auto"/>
        <w:ind w:firstLine="567"/>
        <w:jc w:val="both"/>
      </w:pPr>
      <w:r>
        <w:rPr>
          <w:rFonts w:ascii="Times New Roman" w:hAnsi="Times New Roman"/>
          <w:sz w:val="24"/>
        </w:rPr>
        <w:t>Les tâches réalisées durant le stage ont couvert l’ensemble du cycle de développement de la plateforme ArchiVision, de la conception du référentiel de données jusqu’à l’interface utilisateur finale, en suivant la démarche de la méthode TOGAF ADM (Architecture Development Method) prise comme fil conducteur fonctionnel de l’application, à savoir :</w:t>
      </w:r>
    </w:p>
    <w:p>
      <w:pPr>
        <w:pStyle w:val="ListParagraph"/>
        <w:spacing w:after="0" w:before="0" w:line="276" w:lineRule="auto"/>
        <w:ind w:firstLine="567"/>
        <w:jc w:val="both"/>
      </w:pPr>
      <w:r>
        <w:t>la modélisation d’un référentiel de données unique (Prisma/PostgreSQL) couvrant l’ensemble des couches TOGAF : organisation, motivation (vision, objectifs, principes, exigences), métier (ArchiMate), données, applicatif, technologique, écarts et solutions, gouvernance et évaluation ;</w:t>
      </w:r>
    </w:p>
    <w:p>
      <w:pPr>
        <w:pStyle w:val="ListParagraph"/>
        <w:spacing w:after="0" w:before="0" w:line="276" w:lineRule="auto"/>
        <w:ind w:firstLine="567"/>
        <w:jc w:val="both"/>
      </w:pPr>
      <w:r>
        <w:t>la mise en place d’une authentification par session sécurisée (jeton JWT porté par un cookie httpOnly, protection CSRF par double soumission, hachage des mots de passe par bcrypt avec comparaison en temps constant) et d’un contrôle d’accès par rôle (Administrateur, Architecte, Super-administrateur) ;</w:t>
      </w:r>
    </w:p>
    <w:p>
      <w:pPr>
        <w:pStyle w:val="ListParagraph"/>
        <w:spacing w:after="0" w:before="0" w:line="276" w:lineRule="auto"/>
        <w:ind w:firstLine="567"/>
        <w:jc w:val="both"/>
      </w:pPr>
      <w:r>
        <w:t>l’implémentation d’une isolation multi-tenant réelle et systématique : chaque enregistrement du référentiel est rattaché à une organisation, et chaque service applicatif vérifie cette appartenance avant toute lecture ou modification, avec un mécanisme de validation d’une nouvelle organisation par le super-administrateur avant sa première connexion ;</w:t>
      </w:r>
    </w:p>
    <w:p>
      <w:pPr>
        <w:pStyle w:val="ListParagraph"/>
        <w:spacing w:after="0" w:before="0" w:line="276" w:lineRule="auto"/>
        <w:ind w:firstLine="567"/>
        <w:jc w:val="both"/>
      </w:pPr>
      <w:r>
        <w:t>le développement de l’ensemble des modules fonctionnels de l’assistant TOGAF ADM : préparation de l’organisation, vision, architecture métier (ArchiMate), architecture des données, architecture applicative et urbanisation (hiérarchie Zone / Quartier / Îlot), architecture technologique, analyse des écarts (comparaison AS-IS / TO-BE), opportunités et solutions, planification de la migration, gouvernance et évaluation continue ;</w:t>
      </w:r>
    </w:p>
    <w:p>
      <w:pPr>
        <w:pStyle w:val="ListParagraph"/>
        <w:spacing w:after="0" w:before="0" w:line="276" w:lineRule="auto"/>
        <w:ind w:firstLine="567"/>
        <w:jc w:val="both"/>
      </w:pPr>
      <w:r>
        <w:t>la conception de plusieurs générateurs de vues graphiques côté serveur (format SVG) — architecture métier, plan d’occupation des sols, diagramme de processus BPMN, diagramme de déploiement applicatif, organigramme — ainsi que de canevas interactifs (bibliothèque Konva.js) permettant l’édition par glisser-déposer et l’export des diagrammes en image ;</w:t>
      </w:r>
    </w:p>
    <w:p>
      <w:pPr>
        <w:pStyle w:val="ListParagraph"/>
        <w:spacing w:after="0" w:before="0" w:line="276" w:lineRule="auto"/>
        <w:ind w:firstLine="567"/>
        <w:jc w:val="both"/>
      </w:pPr>
      <w:r>
        <w:t>la conversion de l’API vers une approche « API-first » : documentation OpenAPI/Swagger complète, versionnage de l’API, et génération automatique du client HTTP Angular à partir du contrat, afin que le front-end ne dépende jamais d’un type ou d’une route obsolète ;</w:t>
      </w:r>
    </w:p>
    <w:p>
      <w:pPr>
        <w:pStyle w:val="ListParagraph"/>
        <w:spacing w:after="0" w:before="0" w:line="276" w:lineRule="auto"/>
        <w:ind w:firstLine="567"/>
        <w:jc w:val="both"/>
      </w:pPr>
      <w:r>
        <w:t>la mise en place d’une validation systématique des données entrantes et d’un filtre d’exceptions global garantissant un format de réponse d’erreur cohérent et sans fuite d’information technique sur l’ensemble de l’API ;</w:t>
      </w:r>
    </w:p>
    <w:p>
      <w:pPr>
        <w:pStyle w:val="ListParagraph"/>
        <w:spacing w:after="0" w:before="0" w:line="276" w:lineRule="auto"/>
        <w:ind w:firstLine="567"/>
        <w:jc w:val="both"/>
      </w:pPr>
      <w:r>
        <w:t>la rédaction d’une suite de tests automatisés (Jest, Supertest côté API ; Jasmine/Karma côté Angular) et la mise en place d’une intégration continue (GitHub Actions) exécutant la vérification de types, les tests et la compilation à chaque modification ;</w:t>
      </w:r>
    </w:p>
    <w:p>
      <w:pPr>
        <w:pStyle w:val="ListParagraph"/>
        <w:spacing w:after="0" w:before="0" w:line="276" w:lineRule="auto"/>
        <w:ind w:firstLine="567"/>
        <w:jc w:val="both"/>
      </w:pPr>
      <w:r>
        <w:t>un audit de sécurité mené avant la mise en production, portant sur l’authentification, l’isolation multi-tenant, les dépendances logicielles et la configuration de déploiement (conteneurs Docker), ainsi que la correction des points identifiés ;</w:t>
      </w:r>
    </w:p>
    <w:p>
      <w:pPr>
        <w:pStyle w:val="ListParagraph"/>
        <w:spacing w:after="0" w:before="0" w:line="276" w:lineRule="auto"/>
        <w:ind w:firstLine="567"/>
        <w:jc w:val="both"/>
      </w:pPr>
      <w:r>
        <w:t>la rédaction et la mise à jour continue de la documentation technique du projet.</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[Compléter/adapter cette liste avec toute tâche supplémentaire réalisée durant le stage (autres pôles observés, réunions, missions annexes, etc.)]</w:t>
      </w:r>
    </w:p>
    <w:p>
      <w:pPr>
        <w:pStyle w:val="Heading3"/>
      </w:pPr>
      <w:r>
        <w:t xml:space="preserve">1.2.4. Identification du problème observé</w:t>
      </w:r>
    </w:p>
    <w:p>
      <w:pPr>
        <w:spacing w:after="0" w:before="0" w:line="276" w:lineRule="auto"/>
        <w:ind w:firstLine="567"/>
        <w:jc w:val="both"/>
      </w:pPr>
      <w:r>
        <w:rPr>
          <w:rFonts w:ascii="Times New Roman" w:cs="Times New Roman" w:eastAsia="Times New Roman" w:hAnsi="Times New Roman"/>
          <w:sz w:val="24"/>
          <w:szCs w:val="24"/>
        </w:rPr>
        <w:t xml:space="preserve">Au cours de nos échanges avec l’équipe de K&amp;B Digital Lab et de nos observations des missions menées par K&amp;B Management, nous avons constaté l’absence, au sein de l’entreprise, d’un outil structuré permettant de modéliser et de documenter l’architecture d’entreprise (couche Métier ArchiMate) et le portefeuille applicatif des organisations accompagnées. Ce constat, détaillé au chapitre suivant, a constitué le point de départ du projet ArchiVision, qui a occupé l’essentiel de notre stage.</w:t>
      </w:r>
    </w:p>
    <w:p>
      <w:pPr>
        <w:spacing w:after="0" w:before="0" w:line="276" w:lineRule="auto"/>
        <w:ind w:firstLine="567"/>
        <w:jc w:val="both"/>
      </w:pPr>
      <w:r>
        <w:rPr>
          <w:rFonts w:ascii="Times New Roman" w:cs="Times New Roman" w:eastAsia="Times New Roman" w:hAnsi="Times New Roman"/>
          <w:sz w:val="24"/>
          <w:szCs w:val="24"/>
        </w:rPr>
        <w:t xml:space="preserve">En somme, ce premier chapitre a permis de situer K&amp;B Group SARL, son pôle d’accueil K&amp;B Digital Lab, ainsi que le déroulement général de notre stage. Le chapitre suivant précise le problème identifié et les limites des solutions existantes pour y répondre.</w:t>
      </w:r>
    </w:p>
    <w:p>
      <w:r>
        <w:br w:type="page"/>
      </w:r>
    </w:p>
    <w:p>
      <w:pPr>
        <w:pStyle w:val="Heading1"/>
      </w:pPr>
      <w:r>
        <w:t xml:space="preserve">CHAPITRE 2 : IDENTIFICATION DU PROBLÈME</w:t>
      </w:r>
    </w:p>
    <w:p>
      <w:pPr>
        <w:spacing w:after="0" w:before="0" w:line="276" w:lineRule="auto"/>
        <w:ind w:firstLine="567"/>
        <w:jc w:val="both"/>
      </w:pPr>
      <w:r>
        <w:rPr>
          <w:rFonts w:ascii="Times New Roman" w:cs="Times New Roman" w:eastAsia="Times New Roman" w:hAnsi="Times New Roman"/>
          <w:sz w:val="24"/>
          <w:szCs w:val="24"/>
        </w:rPr>
        <w:t xml:space="preserve">Ce chapitre précise, dans une première section, le problème identifié au sein de K&amp;B Digital Lab ainsi que son impact sur l’activité de l’entreprise. Il présente, dans une seconde section, les solutions existantes pour y répondre, ainsi que leurs limites au regard du besoin spécifique de K&amp;B.</w:t>
      </w:r>
    </w:p>
    <w:p>
      <w:pPr>
        <w:pStyle w:val="Heading2"/>
      </w:pPr>
      <w:r>
        <w:t xml:space="preserve">2.1. Présentation du problème</w:t>
      </w:r>
    </w:p>
    <w:p>
      <w:pPr>
        <w:spacing w:after="0" w:before="0" w:line="276" w:lineRule="auto"/>
        <w:ind w:firstLine="567"/>
        <w:jc w:val="both"/>
      </w:pPr>
      <w:r>
        <w:rPr>
          <w:rFonts w:ascii="Times New Roman" w:cs="Times New Roman" w:eastAsia="Times New Roman" w:hAnsi="Times New Roman"/>
          <w:sz w:val="24"/>
          <w:szCs w:val="24"/>
        </w:rPr>
        <w:t xml:space="preserve">K&amp;B Management accompagne des organisations dans leur structuration, leur transformation et l’amélioration de leur performance, à travers des missions d’audit organisationnel et de conseil. Ces missions nécessitent fréquemment de représenter, de façon rigoureuse et partageable, l’architecture métier des organisations accompagnées : leurs capacités métier, les acteurs et processus qui les composent, ainsi que le portefeuille applicatif qui les soutient.</w:t>
      </w:r>
    </w:p>
    <w:p>
      <w:pPr>
        <w:spacing w:after="0" w:before="0" w:line="276" w:lineRule="auto"/>
        <w:ind w:firstLine="567"/>
        <w:jc w:val="both"/>
      </w:pPr>
      <w:r>
        <w:rPr>
          <w:rFonts w:ascii="Times New Roman" w:cs="Times New Roman" w:eastAsia="Times New Roman" w:hAnsi="Times New Roman"/>
          <w:sz w:val="24"/>
          <w:szCs w:val="24"/>
        </w:rPr>
        <w:t xml:space="preserve">Or, au moment de notre arrivée, K&amp;B Group ne disposait d’aucun outil interne dédié à cette modélisation. Les livrables produits lors des missions de conseil reposaient sur des supports bureautiques classiques (documents Word, feuilles Excel, présentations PowerPoint, schémas Visio), assemblés au cas par cas pour chaque mission. Cette pratique, bien que fonctionnelle à court terme, présente plusieurs limites : absence de référentiel commun réutilisable d’une mission à l’autre, risque d’incohérence dans la terminologie et les notations employées, difficulté à faire évoluer un modèle existant sans tout reconstruire, et impossibilité d’exploiter ces informations de façon programmatique (recherche, filtrage, génération automatique de vues).</w:t>
      </w:r>
    </w:p>
    <w:p>
      <w:pPr>
        <w:spacing w:after="0" w:before="0" w:line="276" w:lineRule="auto"/>
        <w:ind w:firstLine="567"/>
        <w:jc w:val="both"/>
      </w:pPr>
      <w:r>
        <w:rPr>
          <w:rFonts w:ascii="Times New Roman" w:cs="Times New Roman" w:eastAsia="Times New Roman" w:hAnsi="Times New Roman"/>
          <w:sz w:val="24"/>
          <w:szCs w:val="24"/>
        </w:rPr>
        <w:t xml:space="preserve">L’impact de ce problème pour K&amp;B Digital Lab et K&amp;B Management est donc double : une perte de temps et d’efficacité dans la production des livrables de conseil, et un risque de perte de capitalisation de la connaissance acquise sur les organisations accompagnées d’une mission à l’autre.</w:t>
      </w:r>
    </w:p>
    <w:p>
      <w:pPr>
        <w:spacing w:after="0" w:before="0" w:line="276" w:lineRule="auto"/>
        <w:ind w:firstLine="567"/>
        <w:jc w:val="both"/>
      </w:pPr>
      <w:r>
        <w:rPr>
          <w:rFonts w:ascii="Times New Roman" w:cs="Times New Roman" w:eastAsia="Times New Roman" w:hAnsi="Times New Roman"/>
          <w:sz w:val="24"/>
          <w:szCs w:val="24"/>
        </w:rPr>
        <w:t xml:space="preserve">Le besoin exprimé peut se résumer ainsi : disposer d’un référentiel structuré et contraint, conforme au standard ArchiMate 3.2 pour sa couche Métier, permettant de modéliser une organisation, ses capacités métier, ses éléments et relations d’architecture, ainsi que son portefeuille applicatif organisé selon une logique d’urbanisation (Zone, Quartier, Îlot), le tout exposé à travers une interface accessible et sécurisée.</w:t>
      </w:r>
    </w:p>
    <w:p>
      <w:pPr>
        <w:pStyle w:val="Heading2"/>
      </w:pPr>
      <w:r>
        <w:t xml:space="preserve">2.2. Solutions existantes et leurs limites</w:t>
      </w:r>
    </w:p>
    <w:p>
      <w:pPr>
        <w:spacing w:after="0" w:before="0" w:line="276" w:lineRule="auto"/>
        <w:ind w:firstLine="567"/>
        <w:jc w:val="both"/>
      </w:pPr>
      <w:r>
        <w:rPr>
          <w:rFonts w:ascii="Times New Roman" w:cs="Times New Roman" w:eastAsia="Times New Roman" w:hAnsi="Times New Roman"/>
          <w:sz w:val="24"/>
          <w:szCs w:val="24"/>
        </w:rPr>
        <w:t xml:space="preserve">Plusieurs outils du marché permettent la modélisation d’architecture d’entreprise selon le standard ArchiMate. Le tableau suivant en présente une sélection représentative, ainsi que leurs limites au regard du besoin précis de K&amp;B Digital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Solution</w:t>
            </w:r>
          </w:p>
        </w:tc>
        <w:tc>
          <w:tcPr>
            <w:tcW w:type="dxa" w:w="24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Nature</w:t>
            </w:r>
          </w:p>
        </w:tc>
        <w:tc>
          <w:tcPr>
            <w:tcW w:type="dxa" w:w="42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Limites principales pour K&amp;B</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Archi (The Open Group)</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Outil de bureau gratuit de modélisation ArchiMate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Mono-utilisateur, sans API, sans portail web partageable avec les clients ; aucune contrainte automatique sur un référentiel métier propre à K&amp;B</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BiZZdesign Enterprise Studio</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Plateforme commerciale d’architecture d’entreprise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Coût de licence élevé, complexité fonctionnelle disproportionnée par rapport au besoin, hébergement et support à l’étranger</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Sparx Systems Enterprise Architect</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Atelier de modélisation UML / ArchiMate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Orienté grandes entreprises, courbe d’apprentissage importante, licence payante par poste</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MEGA HOPEX</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Suite d’architecture d’entreprise et de gestion des risques</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Solution lourde et coûteuse, largement surdimensionnée pour une structure comme K&amp;B</w:t>
            </w:r>
          </w:p>
        </w:tc>
      </w:tr>
      <w:tr>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Documents bureautiques (Word, Excel, PowerPoint, Visio)</w:t>
            </w:r>
          </w:p>
        </w:tc>
        <w:tc>
          <w:tcPr>
            <w:tcW w:type="dxa" w:w="2400"/>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Pratique informelle observée avant le stage</w:t>
            </w:r>
          </w:p>
        </w:tc>
        <w:tc>
          <w:tcPr>
            <w:tcW w:type="dxa" w:w="4226"/>
            <w:tcMar>
              <w:top w:type="dxa" w:w="80"/>
              <w:left w:type="dxa" w:w="120"/>
              <w:bottom w:type="dxa" w:w="80"/>
              <w:right w:type="dxa" w:w="120"/>
            </w:tcMar>
            <w:vAlign w:val="center"/>
          </w:tcPr>
          <w:p>
            <w:pPr>
              <w:spacing w:line="260" w:lineRule="auto"/>
              <w:jc w:val="left"/>
            </w:pPr>
            <w:r>
              <w:rPr>
                <w:rFonts w:ascii="Times New Roman" w:cs="Times New Roman" w:eastAsia="Times New Roman" w:hAnsi="Times New Roman"/>
                <w:b w:val="false"/>
                <w:bCs w:val="false"/>
                <w:sz w:val="24"/>
                <w:szCs w:val="24"/>
              </w:rPr>
              <w:t xml:space="preserve">Absence de structuration, de validation et de réutilisation programmatique ; risque d’incohérence et de perte de traçabilité entre missions</w:t>
            </w:r>
          </w:p>
        </w:tc>
      </w:tr>
    </w:tbl>
    <w:p>
      <w:pPr>
        <w:spacing w:after="240" w:before="120" w:line="276" w:lineRule="auto"/>
        <w:jc w:val="center"/>
      </w:pPr>
      <w:r>
        <w:rPr>
          <w:rFonts w:ascii="Times New Roman" w:cs="Times New Roman" w:eastAsia="Times New Roman" w:hAnsi="Times New Roman"/>
          <w:b/>
          <w:bCs/>
          <w:sz w:val="22"/>
          <w:szCs w:val="22"/>
        </w:rPr>
        <w:t xml:space="preserve">Tableau 2 : Comparatif des solutions existantes de modélisation d’architecture d’entreprise</w:t>
      </w:r>
    </w:p>
    <w:p>
      <w:pPr>
        <w:spacing w:after="0" w:before="0" w:line="276" w:lineRule="auto"/>
        <w:ind w:firstLine="567"/>
        <w:jc w:val="both"/>
      </w:pPr>
      <w:r>
        <w:rPr>
          <w:rFonts w:ascii="Times New Roman" w:cs="Times New Roman" w:eastAsia="Times New Roman" w:hAnsi="Times New Roman"/>
          <w:sz w:val="24"/>
          <w:szCs w:val="24"/>
        </w:rPr>
        <w:t xml:space="preserve">Ces solutions, bien qu’éprouvées, ne répondent que partiellement au besoin de K&amp;B Digital Lab. Les outils commerciaux (BiZZdesign, Sparx EA, MEGA HOPEX) impliquent un coût de licence difficilement justifiable pour l’usage envisagé et une complexité fonctionnelle excédant largement le périmètre restreint retenu par K&amp;B (couche Métier ArchiMate uniquement, cinq types d’éléments et quatre types de relations). L’outil gratuit Archi, de son côté, ne propose ni portail web accessible aux clients de K&amp;B, ni interface de programmation permettant une intégration future avec d’autres outils internes. Quant aux pratiques bureautiques, elles ne garantissent ni la cohérence, ni la validation, ni la réutilisation des données produites.</w:t>
      </w:r>
    </w:p>
    <w:p>
      <w:pPr>
        <w:spacing w:after="0" w:before="0" w:line="276" w:lineRule="auto"/>
        <w:ind w:firstLine="567"/>
        <w:jc w:val="both"/>
      </w:pPr>
      <w:r>
        <w:rPr>
          <w:rFonts w:ascii="Times New Roman" w:cs="Times New Roman" w:eastAsia="Times New Roman" w:hAnsi="Times New Roman"/>
          <w:sz w:val="24"/>
          <w:szCs w:val="24"/>
        </w:rPr>
        <w:t xml:space="preserve">C’est cette absence d’outil réellement adapté qui justifie le développement d’une solution sur mesure, ArchiVision, présentée au chapitre suivant.</w:t>
      </w:r>
    </w:p>
    <w:p>
      <w:r>
        <w:br w:type="page"/>
      </w:r>
    </w:p>
    <w:p>
      <w:pPr>
        <w:pStyle w:val="Heading1"/>
      </w:pPr>
      <w:r>
        <w:t xml:space="preserve">CHAPITRE 3 : SOLUTION PROPOSÉE — ARCHIVISION</w:t>
      </w:r>
    </w:p>
    <w:p>
      <w:pPr>
        <w:spacing w:after="0" w:before="0" w:line="276" w:lineRule="auto"/>
        <w:ind w:firstLine="567"/>
        <w:jc w:val="both"/>
      </w:pPr>
      <w:r>
        <w:rPr>
          <w:rFonts w:ascii="Times New Roman" w:cs="Times New Roman" w:eastAsia="Times New Roman" w:hAnsi="Times New Roman"/>
          <w:sz w:val="24"/>
          <w:szCs w:val="24"/>
        </w:rPr>
        <w:t xml:space="preserve">Ce chapitre présente la solution que nous avons conçue et développée en réponse au problème identifié. Une première section expose la démarche et le langage de modélisation retenus ; une seconde section détaille l’architecture technique de la plateforme ArchiVision et les résultats obtenus.</w:t>
      </w:r>
    </w:p>
    <w:p>
      <w:pPr>
        <w:pStyle w:val="Heading2"/>
      </w:pPr>
      <w:r>
        <w:t xml:space="preserve">3.1. Démarche et langage de modélisation</w:t>
      </w:r>
    </w:p>
    <w:p>
      <w:pPr>
        <w:pStyle w:val="Heading3"/>
      </w:pPr>
      <w:r>
        <w:t xml:space="preserve">3.1.1. Langage de modélisation retenu</w:t>
      </w:r>
    </w:p>
    <w:p>
      <w:pPr>
        <w:spacing w:after="0" w:before="0" w:line="276" w:lineRule="auto"/>
        <w:ind w:firstLine="567"/>
        <w:jc w:val="both"/>
      </w:pPr>
      <w:r>
        <w:rPr>
          <w:rFonts w:ascii="Times New Roman" w:hAnsi="Times New Roman"/>
          <w:sz w:val="24"/>
        </w:rPr>
        <w:t>Le langage retenu pour la modélisation de l’architecture d’entreprise est ArchiMate 3.2, standard publié par The Open Group et complémentaire du cadre méthodologique TOGAF, dont la méthode ADM (Architecture Development Method) structure l’ensemble du parcours applicatif d’ArchiVision : préparation de l’organisation, vision, architecture métier, architecture des données, architecture applicative, architecture technologique, opportunités et solutions, planification de la migration, gouvernance de la mise en œuvre et gestion des évolutions. La couche Motivation d’ArchiMate (Vision, Objectif, Principe, Exigence) est mobilisée à l’étape Vision, et la couche Métier (Acteur métier, Rôle métier, Processus métier, Service métier, Objet métier, reliés par quatre types de relations : Assignation, Composition, Réalisation, Association) à l’étape homonyme. Ce périmètre, plus large que celui envisagé en tout début de stage, résulte d’un choix assumé avec K&amp;B Digital Lab de représenter le cycle TOGAF ADM dans son ensemble plutôt qu’une seule de ses phases, afin qu’ArchiVision serve de guide méthodologique complet aux missions de conseil de K&amp;B Management.</w:t>
      </w:r>
    </w:p>
    <w:p>
      <w:pPr>
        <w:spacing w:after="0" w:before="0" w:line="276" w:lineRule="auto"/>
        <w:ind w:firstLine="567"/>
        <w:jc w:val="both"/>
      </w:pPr>
      <w:r>
        <w:rPr>
          <w:rFonts w:ascii="Times New Roman" w:hAnsi="Times New Roman"/>
          <w:sz w:val="24"/>
        </w:rPr>
        <w:t>Le volet applicatif s’appuie à la fois sur un inventaire du portefeuille applicatif (avec ses composants technologiques et ses échanges) et sur un module d’urbanisation organisé selon la hiérarchie classique Zone &gt; Quartier &gt; Îlot, permettant de générer un Plan d’Occupation des Sols (POS) qualifiant chaque application selon son niveau de criticité. L’analyse des écarts compare, domaine par domaine, l’état actuel (AS-IS) et la cible visée (TO-BE) selon la matrice d’écarts TOGAF classique (éléments conservés, éliminés, modifiés, nouveaux), et alimente directement le module Opportunités &amp; Solutions, qui permet d’associer une solution candidate aux écarts qu’elle adresse.</w:t>
      </w:r>
    </w:p>
    <w:p>
      <w:pPr>
        <w:pStyle w:val="Heading3"/>
      </w:pPr>
      <w:r>
        <w:t xml:space="preserve">3.1.2. Démarche de conception</w:t>
      </w:r>
    </w:p>
    <w:p>
      <w:pPr>
        <w:spacing w:after="0" w:before="0" w:line="276" w:lineRule="auto"/>
        <w:ind w:firstLine="567"/>
        <w:jc w:val="both"/>
      </w:pPr>
      <w:r>
        <w:rPr>
          <w:rFonts w:ascii="Times New Roman" w:cs="Times New Roman" w:eastAsia="Times New Roman" w:hAnsi="Times New Roman"/>
          <w:sz w:val="24"/>
          <w:szCs w:val="24"/>
        </w:rPr>
        <w:t xml:space="preserve">La conception de la solution a suivi une démarche structurée en quatre étapes : l’analyse du besoin et du référentiel métier attendu par K&amp;B Digital Lab ; la modélisation du domaine de données, traduite en un schéma relationnel (Prisma/PostgreSQL) fidèle aux concepts métier ; la conception et le développement d’une interface de programmation (API REST) exposant ce référentiel de façon sécurisée ; enfin, la validation de la solution par une couverture de tests automatisés et la rédaction de sa documentation.</w:t>
      </w:r>
    </w:p>
    <w:p>
      <w:pPr>
        <w:spacing w:after="200" w:before="200"/>
        <w:jc w:val="center"/>
      </w:pPr>
      <w:r>
        <w:rPr>
          <w:rFonts w:ascii="Times New Roman" w:cs="Times New Roman" w:eastAsia="Times New Roman" w:hAnsi="Times New Roman"/>
          <w:sz w:val="24"/>
          <w:szCs w:val="24"/>
          <w:highlight w:val="yellow"/>
          <w:highlightCs w:val="yellow"/>
        </w:rPr>
        <w:t xml:space="preserve">[Figure 2 : Modèle de données (schéma entité-association) du référentiel ArchiVision — à insérer (export du schéma Prisma)]</w:t>
      </w:r>
    </w:p>
    <w:p>
      <w:pPr>
        <w:pStyle w:val="Heading2"/>
      </w:pPr>
      <w:r>
        <w:t xml:space="preserve">3.2. Architecture technique et résultats</w:t>
      </w:r>
    </w:p>
    <w:p>
      <w:pPr>
        <w:pStyle w:val="Heading3"/>
      </w:pPr>
      <w:r>
        <w:t xml:space="preserve">3.2.1. Choix technologiques</w:t>
      </w:r>
    </w:p>
    <w:p>
      <w:pPr>
        <w:spacing w:after="0" w:before="0" w:line="276" w:lineRule="auto"/>
        <w:ind w:firstLine="567"/>
        <w:jc w:val="both"/>
      </w:pPr>
      <w:r>
        <w:rPr>
          <w:rFonts w:ascii="Times New Roman" w:hAnsi="Times New Roman"/>
          <w:sz w:val="24"/>
        </w:rPr>
        <w:t>La plateforme ArchiVision repose sur la pile technologique suivante : NestJS (Node.js / TypeScript) pour le service applicatif, structuré en une vingtaine de modules ; PostgreSQL comme système de gestion de base de données relationnelle, accédé via l’ORM Prisma ; Passport et JSON Web Token (JWT), portés par un cookie httpOnly et protégés par un jeton anti-CSRF, pour l’authentification ; class-validator pour la validation systématique des données entrantes ; Helmet et un limiteur de débit (throttling) pour le durcissement de l’API exposée ; Angular pour le frontend web, développé en parallèle du backend et couvrant l’intégralité des modules de l’assistant TOGAF ADM, avec un client HTTP généré automatiquement depuis le contrat OpenAPI de l’API (approche « API-first ») ; et Docker pour la conteneurisation et le déploiement (image applicative, base de données, application des migrations de schéma). Le projet est organisé en monorepo, avec une application API (apps/api), une application web (apps/web) et des bibliothèques partagées (libs/infrastructure pour l’accès aux données, libs/shared pour les éléments transverses de sécurité).</w:t>
      </w:r>
    </w:p>
    <w:p>
      <w:pPr>
        <w:pStyle w:val="Heading3"/>
      </w:pPr>
      <w:r>
        <w:t xml:space="preserve">3.2.2. Modèle de données</w:t>
      </w:r>
    </w:p>
    <w:p>
      <w:pPr>
        <w:spacing w:after="0" w:before="0" w:line="276" w:lineRule="auto"/>
        <w:ind w:firstLine="567"/>
        <w:jc w:val="both"/>
      </w:pPr>
      <w:r>
        <w:rPr>
          <w:rFonts w:ascii="Times New Roman" w:cs="Times New Roman" w:eastAsia="Times New Roman" w:hAnsi="Times New Roman"/>
          <w:sz w:val="24"/>
          <w:szCs w:val="24"/>
        </w:rPr>
        <w:t xml:space="preserve">Le référentiel de données comprend les entités suivantes : Organisation, entité racine représentant l’entreprise modélisée ; CapaciteMetier, représentant ce que l’organisation sait faire ; ElementArchimate et RelationArchimate, formant la couche Métier ArchiMate proprement dite ; Application et ZoneUrbanisation, formant le volet urbanisation, cette dernière étant auto-référencée pour représenter la hiérarchie Zone / Quartier / Îlot ; et ApplicationZone, table d’association matérialisant l’affectation d’une application à un îlot du plan d’occupation des sols.</w:t>
      </w:r>
    </w:p>
    <w:p>
      <w:pPr>
        <w:pStyle w:val="Heading3"/>
      </w:pPr>
      <w:r>
        <w:t xml:space="preserve">3.2.3. Sécurité</w:t>
      </w:r>
    </w:p>
    <w:p>
      <w:pPr>
        <w:spacing w:after="0" w:before="0" w:line="276" w:lineRule="auto"/>
        <w:ind w:firstLine="567"/>
        <w:jc w:val="both"/>
      </w:pPr>
      <w:r>
        <w:rPr>
          <w:rFonts w:ascii="Times New Roman" w:hAnsi="Times New Roman"/>
          <w:sz w:val="24"/>
        </w:rPr>
        <w:t>La sécurité de la plateforme repose sur plusieurs mécanismes complémentaires. L’authentification s’appuie sur un jeton JWT porté par un cookie httpOnly (donc inaccessible à un script côté navigateur), accompagné d’une protection contre les attaques CSRF par double soumission de jeton ; les mots de passe sont comparés par hachage (bcrypt) avec une protection contre les attaques par mesure de temps, y compris lorsque le compte n’existe pas. Un contrôle d’accès par rôle (Administrateur, Architecte, Super-administrateur) protège chaque route de mutation, et une isolation multi-tenant systématique garantit qu’aucune organisation ne peut lire ou modifier les données d’une autre : chaque enregistrement porte l’identifiant de son organisation, vérifié à chaque requête. Une nouvelle organisation démarre dans un état « en attente » et ne peut se connecter qu’après validation explicite par le super-administrateur, qui reçoit un dossier de revue complet et déclenche l’envoi d’un e-mail de confirmation. L’API est en outre protégée par un limiteur de débit sur les routes sensibles (connexion, inscription, envoi de fichiers), par les en-têtes de sécurité HTTP standards (Helmet), et par une configuration CORS n’autorisant qu’une seule origine explicitement déclarée. Toutes les données entrantes sont systématiquement validées et nettoyées (rejet des champs non déclarés) avant traitement, et un filtre d’exceptions global garantit un format de réponse d’erreur cohérent sur l’ensemble de l’API, sans jamais exposer de détail technique interne en cas d’erreur inattendue. Un audit de sécurité formel, mené avant la mise en production, a par ailleurs permis d’identifier et de corriger une dépendance logicielle vulnérable, une image de conteneur s’exécutant avec des privilèges excessifs, et une configuration de déploiement incomplète.</w:t>
      </w:r>
    </w:p>
    <w:p>
      <w:pPr>
        <w:pStyle w:val="Heading3"/>
      </w:pPr>
      <w:r>
        <w:t xml:space="preserve">3.2.4. Interface de programmation (API)</w:t>
      </w:r>
    </w:p>
    <w:p>
      <w:pPr>
        <w:spacing w:after="0" w:before="0" w:line="276" w:lineRule="auto"/>
        <w:ind w:firstLine="567"/>
        <w:jc w:val="both"/>
      </w:pPr>
      <w:r>
        <w:rPr>
          <w:rFonts w:ascii="Times New Roman" w:hAnsi="Times New Roman"/>
          <w:sz w:val="24"/>
        </w:rPr>
        <w:t>L’API suit une approche « API-first » : elle est intégralement documentée via OpenAPI/Swagger (interface interactive accessible à l’adresse /api/docs), versionnée sous le préfixe /api/v1, et compte une vingtaine de contrôleurs pour une centaine de routes au total. Le client HTTP utilisé par le frontend Angular est généré automatiquement à partir de ce contrat, ce qui élimine tout risque de désynchronisation entre les types manipulés par le frontend et la réalité de l’API. Le tableau suivant présente un échantillon représentatif de ces routes, une par grand module fonctionnel.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Méthode</w:t>
            </w:r>
          </w:p>
        </w:tc>
        <w:tc>
          <w:tcPr>
            <w:tcW w:type="dxa" w:w="28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Route</w:t>
            </w:r>
          </w:p>
        </w:tc>
        <w:tc>
          <w:tcPr>
            <w:tcW w:type="dxa" w:w="38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Description</w:t>
            </w:r>
          </w:p>
        </w:tc>
      </w:tr>
      <w:tr>
        <w:tc>
          <w:tcPr>
            <w:tcW w:type="dxa" w:w="2400"/>
          </w:tcPr>
          <w:p>
            <w:r>
              <w:t>POST</w:t>
            </w:r>
          </w:p>
        </w:tc>
        <w:tc>
          <w:tcPr>
            <w:tcW w:type="dxa" w:w="2800"/>
          </w:tcPr>
          <w:p>
            <w:r>
              <w:t>/api/v1/auth/login</w:t>
            </w:r>
          </w:p>
        </w:tc>
        <w:tc>
          <w:tcPr>
            <w:tcW w:type="dxa" w:w="3826"/>
          </w:tcPr>
          <w:p>
            <w:r>
              <w:t>Authentification par e-mail et mot de passe (cookie httpOnly + jeton CSRF)</w:t>
            </w:r>
          </w:p>
        </w:tc>
      </w:tr>
      <w:tr>
        <w:tc>
          <w:tcPr>
            <w:tcW w:type="dxa" w:w="2400"/>
          </w:tcPr>
          <w:p>
            <w:r>
              <w:t>POST</w:t>
            </w:r>
          </w:p>
        </w:tc>
        <w:tc>
          <w:tcPr>
            <w:tcW w:type="dxa" w:w="2800"/>
          </w:tcPr>
          <w:p>
            <w:r>
              <w:t>/api/v1/auth/register</w:t>
            </w:r>
          </w:p>
        </w:tc>
        <w:tc>
          <w:tcPr>
            <w:tcW w:type="dxa" w:w="3826"/>
          </w:tcPr>
          <w:p>
            <w:r>
              <w:t>Inscription d’une nouvelle organisation (statut « en attente » jusqu’à validation)</w:t>
            </w:r>
          </w:p>
        </w:tc>
      </w:tr>
      <w:tr>
        <w:tc>
          <w:tcPr>
            <w:tcW w:type="dxa" w:w="2400"/>
          </w:tcPr>
          <w:p>
            <w:r>
              <w:t>GET</w:t>
            </w:r>
          </w:p>
        </w:tc>
        <w:tc>
          <w:tcPr>
            <w:tcW w:type="dxa" w:w="2800"/>
          </w:tcPr>
          <w:p>
            <w:r>
              <w:t>/api/v1/auth/me</w:t>
            </w:r>
          </w:p>
        </w:tc>
        <w:tc>
          <w:tcPr>
            <w:tcW w:type="dxa" w:w="3826"/>
          </w:tcPr>
          <w:p>
            <w:r>
              <w:t>Profil de l’utilisateur authentifié</w:t>
            </w:r>
          </w:p>
        </w:tc>
      </w:tr>
      <w:tr>
        <w:tc>
          <w:tcPr>
            <w:tcW w:type="dxa" w:w="2400"/>
          </w:tcPr>
          <w:p>
            <w:r>
              <w:t>POST · GET · PATCH · DELETE</w:t>
            </w:r>
          </w:p>
        </w:tc>
        <w:tc>
          <w:tcPr>
            <w:tcW w:type="dxa" w:w="2800"/>
          </w:tcPr>
          <w:p>
            <w:r>
              <w:t>/api/v1/organisations</w:t>
            </w:r>
          </w:p>
        </w:tc>
        <w:tc>
          <w:tcPr>
            <w:tcW w:type="dxa" w:w="3826"/>
          </w:tcPr>
          <w:p>
            <w:r>
              <w:t>Gestion de l’organisation courante</w:t>
            </w:r>
          </w:p>
        </w:tc>
      </w:tr>
      <w:tr>
        <w:tc>
          <w:tcPr>
            <w:tcW w:type="dxa" w:w="2400"/>
          </w:tcPr>
          <w:p>
            <w:r>
              <w:t>POST · GET · PATCH · DELETE</w:t>
            </w:r>
          </w:p>
        </w:tc>
        <w:tc>
          <w:tcPr>
            <w:tcW w:type="dxa" w:w="2800"/>
          </w:tcPr>
          <w:p>
            <w:r>
              <w:t>/api/v1/elements-archimate</w:t>
            </w:r>
          </w:p>
        </w:tc>
        <w:tc>
          <w:tcPr>
            <w:tcW w:type="dxa" w:w="3826"/>
          </w:tcPr>
          <w:p>
            <w:r>
              <w:t>Gestion des éléments de la couche Métier ArchiMate</w:t>
            </w:r>
          </w:p>
        </w:tc>
      </w:tr>
      <w:tr>
        <w:tc>
          <w:tcPr>
            <w:tcW w:type="dxa" w:w="2400"/>
          </w:tcPr>
          <w:p>
            <w:r>
              <w:t>GET</w:t>
            </w:r>
          </w:p>
        </w:tc>
        <w:tc>
          <w:tcPr>
            <w:tcW w:type="dxa" w:w="2800"/>
          </w:tcPr>
          <w:p>
            <w:r>
              <w:t>/api/v1/elements-archimate/generate-vue</w:t>
            </w:r>
          </w:p>
        </w:tc>
        <w:tc>
          <w:tcPr>
            <w:tcW w:type="dxa" w:w="3826"/>
          </w:tcPr>
          <w:p>
            <w:r>
              <w:t>Génération de la vue graphique (SVG) de l’architecture métier</w:t>
            </w:r>
          </w:p>
        </w:tc>
      </w:tr>
      <w:tr>
        <w:tc>
          <w:tcPr>
            <w:tcW w:type="dxa" w:w="2400"/>
          </w:tcPr>
          <w:p>
            <w:r>
              <w:t>POST · GET · PATCH · DELETE</w:t>
            </w:r>
          </w:p>
        </w:tc>
        <w:tc>
          <w:tcPr>
            <w:tcW w:type="dxa" w:w="2800"/>
          </w:tcPr>
          <w:p>
            <w:r>
              <w:t>/api/v1/applications</w:t>
            </w:r>
          </w:p>
        </w:tc>
        <w:tc>
          <w:tcPr>
            <w:tcW w:type="dxa" w:w="3826"/>
          </w:tcPr>
          <w:p>
            <w:r>
              <w:t>Gestion du portefeuille applicatif</w:t>
            </w:r>
          </w:p>
        </w:tc>
      </w:tr>
      <w:tr>
        <w:tc>
          <w:tcPr>
            <w:tcW w:type="dxa" w:w="2400"/>
          </w:tcPr>
          <w:p>
            <w:r>
              <w:t>POST · GET · PATCH · DELETE</w:t>
            </w:r>
          </w:p>
        </w:tc>
        <w:tc>
          <w:tcPr>
            <w:tcW w:type="dxa" w:w="2800"/>
          </w:tcPr>
          <w:p>
            <w:r>
              <w:t>/api/v1/zones-urbanisation</w:t>
            </w:r>
          </w:p>
        </w:tc>
        <w:tc>
          <w:tcPr>
            <w:tcW w:type="dxa" w:w="3826"/>
          </w:tcPr>
          <w:p>
            <w:r>
              <w:t>Gestion de la hiérarchie Zone / Quartier / Îlot</w:t>
            </w:r>
          </w:p>
        </w:tc>
      </w:tr>
      <w:tr>
        <w:tc>
          <w:tcPr>
            <w:tcW w:type="dxa" w:w="2400"/>
          </w:tcPr>
          <w:p>
            <w:r>
              <w:t>GET</w:t>
            </w:r>
          </w:p>
        </w:tc>
        <w:tc>
          <w:tcPr>
            <w:tcW w:type="dxa" w:w="2800"/>
          </w:tcPr>
          <w:p>
            <w:r>
              <w:t>/api/v1/bpmn-processus/:id/generate-vue</w:t>
            </w:r>
          </w:p>
        </w:tc>
        <w:tc>
          <w:tcPr>
            <w:tcW w:type="dxa" w:w="3826"/>
          </w:tcPr>
          <w:p>
            <w:r>
              <w:t>Génération de la vue graphique (SVG) d’un processus BPMN</w:t>
            </w:r>
          </w:p>
        </w:tc>
      </w:tr>
      <w:tr>
        <w:tc>
          <w:tcPr>
            <w:tcW w:type="dxa" w:w="2400"/>
          </w:tcPr>
          <w:p>
            <w:r>
              <w:t>POST</w:t>
            </w:r>
          </w:p>
        </w:tc>
        <w:tc>
          <w:tcPr>
            <w:tcW w:type="dxa" w:w="2800"/>
          </w:tcPr>
          <w:p>
            <w:r>
              <w:t>/api/v1/bpmn-processus/:id/generer-diagramme</w:t>
            </w:r>
          </w:p>
        </w:tc>
        <w:tc>
          <w:tcPr>
            <w:tcW w:type="dxa" w:w="3826"/>
          </w:tcPr>
          <w:p>
            <w:r>
              <w:t>Proposition automatique de diagramme BPMN à partir d’étapes en langage naturel</w:t>
            </w:r>
          </w:p>
        </w:tc>
      </w:tr>
      <w:tr>
        <w:tc>
          <w:tcPr>
            <w:tcW w:type="dxa" w:w="2400"/>
          </w:tcPr>
          <w:p>
            <w:r>
              <w:t>POST · GET · PATCH · DELETE</w:t>
            </w:r>
          </w:p>
        </w:tc>
        <w:tc>
          <w:tcPr>
            <w:tcW w:type="dxa" w:w="2800"/>
          </w:tcPr>
          <w:p>
            <w:r>
              <w:t>/api/v1/solutions</w:t>
            </w:r>
          </w:p>
        </w:tc>
        <w:tc>
          <w:tcPr>
            <w:tcW w:type="dxa" w:w="3826"/>
          </w:tcPr>
          <w:p>
            <w:r>
              <w:t>Gestion des solutions candidates et des écarts qu’elles adressent</w:t>
            </w:r>
          </w:p>
        </w:tc>
      </w:tr>
      <w:tr>
        <w:tc>
          <w:tcPr>
            <w:tcW w:type="dxa" w:w="2400"/>
          </w:tcPr>
          <w:p>
            <w:r>
              <w:t>GET</w:t>
            </w:r>
          </w:p>
        </w:tc>
        <w:tc>
          <w:tcPr>
            <w:tcW w:type="dxa" w:w="2800"/>
          </w:tcPr>
          <w:p>
            <w:r>
              <w:t>/api/v1/solutions/gaps</w:t>
            </w:r>
          </w:p>
        </w:tc>
        <w:tc>
          <w:tcPr>
            <w:tcW w:type="dxa" w:w="3826"/>
          </w:tcPr>
          <w:p>
            <w:r>
              <w:t>Liste de tous les écarts déjà adressés par une solution</w:t>
            </w:r>
          </w:p>
        </w:tc>
      </w:tr>
      <w:tr>
        <w:tc>
          <w:tcPr>
            <w:tcW w:type="dxa" w:w="2400"/>
          </w:tcPr>
          <w:p>
            <w:r>
              <w:t>PATCH</w:t>
            </w:r>
          </w:p>
        </w:tc>
        <w:tc>
          <w:tcPr>
            <w:tcW w:type="dxa" w:w="2800"/>
          </w:tcPr>
          <w:p>
            <w:r>
              <w:t>/api/v1/admin/organisations/:id/valider</w:t>
            </w:r>
          </w:p>
        </w:tc>
        <w:tc>
          <w:tcPr>
            <w:tcW w:type="dxa" w:w="3826"/>
          </w:tcPr>
          <w:p>
            <w:r>
              <w:t>Validation d’une organisation par le super-administrateur</w:t>
            </w:r>
          </w:p>
        </w:tc>
      </w:tr>
      <w:tr>
        <w:tc>
          <w:tcPr>
            <w:tcW w:type="dxa" w:w="2400"/>
          </w:tcPr>
          <w:p>
            <w:r>
              <w:t>GET</w:t>
            </w:r>
          </w:p>
        </w:tc>
        <w:tc>
          <w:tcPr>
            <w:tcW w:type="dxa" w:w="2800"/>
          </w:tcPr>
          <w:p>
            <w:r>
              <w:t>/api/v1/health</w:t>
            </w:r>
          </w:p>
        </w:tc>
        <w:tc>
          <w:tcPr>
            <w:tcW w:type="dxa" w:w="3826"/>
          </w:tcPr>
          <w:p>
            <w:r>
              <w:t>Vérification de la disponibilité du service et de la base de données</w:t>
            </w:r>
          </w:p>
        </w:tc>
      </w:tr>
    </w:tbl>
    <w:p>
      <w:pPr>
        <w:spacing w:after="240" w:before="120" w:line="276" w:lineRule="auto"/>
        <w:jc w:val="center"/>
      </w:pPr>
      <w:r>
        <w:rPr>
          <w:rFonts w:ascii="Times New Roman" w:cs="Times New Roman" w:eastAsia="Times New Roman" w:hAnsi="Times New Roman"/>
          <w:b/>
          <w:bCs/>
          <w:sz w:val="22"/>
          <w:szCs w:val="22"/>
        </w:rPr>
        <w:t xml:space="preserve">Tableau 3 : Endpoints exposés par l’API ArchiVision</w:t>
      </w:r>
    </w:p>
    <w:p>
      <w:pPr>
        <w:pStyle w:val="Heading3"/>
      </w:pPr>
      <w:r>
        <w:t xml:space="preserve">3.2.5. Visualisation graphique</w:t>
      </w:r>
    </w:p>
    <w:p>
      <w:pPr>
        <w:spacing w:after="0" w:before="0" w:line="276" w:lineRule="auto"/>
        <w:ind w:firstLine="567"/>
        <w:jc w:val="both"/>
      </w:pPr>
      <w:r>
        <w:rPr>
          <w:rFonts w:ascii="Times New Roman" w:hAnsi="Times New Roman"/>
          <w:sz w:val="24"/>
        </w:rPr>
        <w:t>Afin de rendre le référentiel exploitable visuellement sans dépendre d’un outil graphique tiers, la plateforme génère elle-même, côté serveur, plusieurs vues au format SVG : la couche Métier ArchiMate, où les éléments sont disposés par type et les relations stylées selon leur sémantique propre (flèche pleine pour l’assignation, losange pour la composition, trait pointillé à triangle creux pour la réalisation, trait simple pour l’association) ; le Plan d’Occupation des Sols, représentant les zones, quartiers et îlots sous forme de rectangles imbriqués, avec les applications affectées classées par couleur selon leur criticité ; un diagramme de processus BPMN, dont une première proposition peut être générée automatiquement à partir d’une description en langage naturel, étape par étape ; un diagramme de déploiement de l’architecture applicative, utilisant la notation UML (artefacts, stéréotypes «device»/«execution environment», relations «deploy») ; et un organigramme de l’organisation. Chacune de ces vues dispose en complément d’un canevas interactif (bibliothèque Konva.js) permettant de glisser-déposer les éléments, de les relier à la souris et d’exporter le résultat en image (SVG ou PNG).</w:t>
      </w:r>
    </w:p>
    <w:p>
      <w:pPr>
        <w:spacing w:after="200" w:before="200"/>
        <w:jc w:val="center"/>
      </w:pPr>
      <w:r>
        <w:drawing>
          <wp:inline xmlns:a="http://schemas.openxmlformats.org/drawingml/2006/main" xmlns:pic="http://schemas.openxmlformats.org/drawingml/2006/picture">
            <wp:extent cx="5760000" cy="3065731"/>
            <wp:docPr id="1" name="Picture 1"/>
            <wp:cNvGraphicFramePr>
              <a:graphicFrameLocks noChangeAspect="1"/>
            </wp:cNvGraphicFramePr>
            <a:graphic>
              <a:graphicData uri="http://schemas.openxmlformats.org/drawingml/2006/picture">
                <pic:pic>
                  <pic:nvPicPr>
                    <pic:cNvPr id="0" name="figure3_archimate.png"/>
                    <pic:cNvPicPr/>
                  </pic:nvPicPr>
                  <pic:blipFill>
                    <a:blip r:embed="rId10"/>
                    <a:stretch>
                      <a:fillRect/>
                    </a:stretch>
                  </pic:blipFill>
                  <pic:spPr>
                    <a:xfrm>
                      <a:off x="0" y="0"/>
                      <a:ext cx="5760000" cy="3065731"/>
                    </a:xfrm>
                    <a:prstGeom prst="rect"/>
                  </pic:spPr>
                </pic:pic>
              </a:graphicData>
            </a:graphic>
          </wp:inline>
        </w:drawing>
      </w:r>
    </w:p>
    <w:p>
      <w:pPr>
        <w:spacing w:after="200" w:before="200"/>
        <w:jc w:val="center"/>
      </w:pPr>
      <w:r>
        <w:t>Figure 3 : Vue ArchiMate générée de la couche Métier (organisation de démonstration).</w:t>
      </w:r>
    </w:p>
    <w:p>
      <w:pPr>
        <w:spacing w:after="200" w:before="200"/>
        <w:jc w:val="center"/>
      </w:pPr>
      <w:r>
        <w:rPr>
          <w:rFonts w:ascii="Times New Roman" w:cs="Times New Roman" w:eastAsia="Times New Roman" w:hAnsi="Times New Roman"/>
          <w:sz w:val="24"/>
          <w:szCs w:val="24"/>
          <w:highlight w:val="yellow"/>
          <w:highlightCs w:val="yellow"/>
        </w:rPr>
        <w:t xml:space="preserve">[Figure 4 : Plan d’Occupation des Sols (POS) généré par ArchiVision — capture d’écran à insérer]</w:t>
      </w:r>
    </w:p>
    <w:p>
      <w:pPr>
        <w:pStyle w:val="Heading3"/>
      </w:pPr>
      <w:r>
        <w:t xml:space="preserve">3.2.6. Fiabilité et qualité logicielle</w:t>
      </w:r>
    </w:p>
    <w:p>
      <w:pPr>
        <w:spacing w:after="0" w:before="0" w:line="276" w:lineRule="auto"/>
        <w:ind w:firstLine="567"/>
        <w:jc w:val="both"/>
      </w:pPr>
      <w:r>
        <w:rPr>
          <w:rFonts w:ascii="Times New Roman" w:hAnsi="Times New Roman"/>
          <w:sz w:val="24"/>
        </w:rPr>
        <w:t>La fiabilité de la solution est garantie par une couverture de tests automatisés (plus de 500 tests côté API avec Jest et Supertest, répartis sur une soixantaine de suites ; plus de 160 tests côté frontend Angular avec Jasmine et Karma), rejouée automatiquement par une intégration continue (GitHub Actions) à chaque modification du dépôt. Le tableau ci-dessous en résume la portée par grand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Module</w:t>
            </w:r>
          </w:p>
        </w:tc>
        <w:tc>
          <w:tcPr>
            <w:tcW w:type="dxa" w:w="2600"/>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Type de test</w:t>
            </w:r>
          </w:p>
        </w:tc>
        <w:tc>
          <w:tcPr>
            <w:tcW w:type="dxa" w:w="3826"/>
            <w:shd w:fill="D9D9D9" w:val="clear"/>
            <w:tcMar>
              <w:top w:type="dxa" w:w="80"/>
              <w:left w:type="dxa" w:w="120"/>
              <w:bottom w:type="dxa" w:w="80"/>
              <w:right w:type="dxa" w:w="120"/>
            </w:tcMar>
            <w:vAlign w:val="center"/>
          </w:tcPr>
          <w:p>
            <w:pPr>
              <w:spacing w:line="260" w:lineRule="auto"/>
              <w:jc w:val="center"/>
            </w:pPr>
            <w:r>
              <w:rPr>
                <w:rFonts w:ascii="Times New Roman" w:cs="Times New Roman" w:eastAsia="Times New Roman" w:hAnsi="Times New Roman"/>
                <w:b/>
                <w:bCs/>
                <w:sz w:val="24"/>
                <w:szCs w:val="24"/>
              </w:rPr>
              <w:t xml:space="preserve">Portée</w:t>
            </w:r>
          </w:p>
        </w:tc>
      </w:tr>
      <w:tr>
        <w:tc>
          <w:tcPr>
            <w:tcW w:type="dxa" w:w="2600"/>
          </w:tcPr>
          <w:p>
            <w:r>
              <w:t>Authentification et sécurité</w:t>
            </w:r>
          </w:p>
        </w:tc>
        <w:tc>
          <w:tcPr>
            <w:tcW w:type="dxa" w:w="2600"/>
          </w:tcPr>
          <w:p>
            <w:r>
              <w:t>Unitaire + HTTP (bout-en-bout)</w:t>
            </w:r>
          </w:p>
        </w:tc>
        <w:tc>
          <w:tcPr>
            <w:tcW w:type="dxa" w:w="3826"/>
          </w:tcPr>
          <w:p>
            <w:r>
              <w:t>Connexion, cookie httpOnly, protection CSRF, jetons invalides, validation d’organisation</w:t>
            </w:r>
          </w:p>
        </w:tc>
      </w:tr>
      <w:tr>
        <w:tc>
          <w:tcPr>
            <w:tcW w:type="dxa" w:w="2600"/>
          </w:tcPr>
          <w:p>
            <w:r>
              <w:t>Isolation multi-tenant</w:t>
            </w:r>
          </w:p>
        </w:tc>
        <w:tc>
          <w:tcPr>
            <w:tcW w:type="dxa" w:w="2600"/>
          </w:tcPr>
          <w:p>
            <w:r>
              <w:t>Unitaire + HTTP</w:t>
            </w:r>
          </w:p>
        </w:tc>
        <w:tc>
          <w:tcPr>
            <w:tcW w:type="dxa" w:w="3826"/>
          </w:tcPr>
          <w:p>
            <w:r>
              <w:t>Vérification systématique qu’aucune organisation ne peut accéder aux données d’une autre</w:t>
            </w:r>
          </w:p>
        </w:tc>
      </w:tr>
      <w:tr>
        <w:tc>
          <w:tcPr>
            <w:tcW w:type="dxa" w:w="2600"/>
          </w:tcPr>
          <w:p>
            <w:r>
              <w:t>Modules TOGAF ADM (métier, données, applicatif, technologique, écarts, solutions, gouvernance, évaluation)</w:t>
            </w:r>
          </w:p>
        </w:tc>
        <w:tc>
          <w:tcPr>
            <w:tcW w:type="dxa" w:w="2600"/>
          </w:tcPr>
          <w:p>
            <w:r>
              <w:t>Unitaire + HTTP</w:t>
            </w:r>
          </w:p>
        </w:tc>
        <w:tc>
          <w:tcPr>
            <w:tcW w:type="dxa" w:w="3826"/>
          </w:tcPr>
          <w:p>
            <w:r>
              <w:t>Cycle de vie complet par module, cas d’erreur (ressource introuvable, référence invalide)</w:t>
            </w:r>
          </w:p>
        </w:tc>
      </w:tr>
      <w:tr>
        <w:tc>
          <w:tcPr>
            <w:tcW w:type="dxa" w:w="2600"/>
          </w:tcPr>
          <w:p>
            <w:r>
              <w:t>Génération de vues graphiques</w:t>
            </w:r>
          </w:p>
        </w:tc>
        <w:tc>
          <w:tcPr>
            <w:tcW w:type="dxa" w:w="2600"/>
          </w:tcPr>
          <w:p>
            <w:r>
              <w:t>Unitaire</w:t>
            </w:r>
          </w:p>
        </w:tc>
        <w:tc>
          <w:tcPr>
            <w:tcW w:type="dxa" w:w="3826"/>
          </w:tcPr>
          <w:p>
            <w:r>
              <w:t>Génération SVG (ArchiMate, POS, BPMN, architecture applicative), échappement des données utilisateur</w:t>
            </w:r>
          </w:p>
        </w:tc>
      </w:tr>
      <w:tr>
        <w:tc>
          <w:tcPr>
            <w:tcW w:type="dxa" w:w="2600"/>
          </w:tcPr>
          <w:p>
            <w:r>
              <w:t>Filtre d’exceptions et validation globale</w:t>
            </w:r>
          </w:p>
        </w:tc>
        <w:tc>
          <w:tcPr>
            <w:tcW w:type="dxa" w:w="2600"/>
          </w:tcPr>
          <w:p>
            <w:r>
              <w:t>Unitaire</w:t>
            </w:r>
          </w:p>
        </w:tc>
        <w:tc>
          <w:tcPr>
            <w:tcW w:type="dxa" w:w="3826"/>
          </w:tcPr>
          <w:p>
            <w:r>
              <w:t>Formatage des erreurs métier et des erreurs de base de données, non-fuite d’information interne</w:t>
            </w:r>
          </w:p>
        </w:tc>
      </w:tr>
      <w:tr>
        <w:tc>
          <w:tcPr>
            <w:tcW w:type="dxa" w:w="2600"/>
          </w:tcPr>
          <w:p>
            <w:r>
              <w:t>Frontend Angular</w:t>
            </w:r>
          </w:p>
        </w:tc>
        <w:tc>
          <w:tcPr>
            <w:tcW w:type="dxa" w:w="2600"/>
          </w:tcPr>
          <w:p>
            <w:r>
              <w:t>Unitaire (services et composants)</w:t>
            </w:r>
          </w:p>
        </w:tc>
        <w:tc>
          <w:tcPr>
            <w:tcW w:type="dxa" w:w="3826"/>
          </w:tcPr>
          <w:p>
            <w:r>
              <w:t>Services HTTP générés, logique des composants, garde-fous de navigation par rôle</w:t>
            </w:r>
          </w:p>
        </w:tc>
      </w:tr>
    </w:tbl>
    <w:p>
      <w:pPr>
        <w:spacing w:after="240" w:before="120" w:line="276" w:lineRule="auto"/>
        <w:jc w:val="center"/>
      </w:pPr>
      <w:r>
        <w:rPr>
          <w:rFonts w:ascii="Times New Roman" w:cs="Times New Roman" w:eastAsia="Times New Roman" w:hAnsi="Times New Roman"/>
          <w:b/>
          <w:bCs/>
          <w:sz w:val="22"/>
          <w:szCs w:val="22"/>
        </w:rPr>
        <w:t xml:space="preserve">Tableau 4 : Couverture de tests de la solution ArchiVision</w:t>
      </w:r>
    </w:p>
    <w:p>
      <w:pPr>
        <w:pStyle w:val="Heading3"/>
      </w:pPr>
      <w:r>
        <w:t xml:space="preserve">3.2.7. Difficultés rencontrées</w:t>
      </w:r>
    </w:p>
    <w:p>
      <w:pPr>
        <w:spacing w:after="0" w:before="0" w:line="276" w:lineRule="auto"/>
        <w:ind w:firstLine="567"/>
        <w:jc w:val="both"/>
      </w:pPr>
      <w:r>
        <w:rPr>
          <w:rFonts w:ascii="Times New Roman" w:hAnsi="Times New Roman"/>
          <w:sz w:val="24"/>
        </w:rPr>
        <w:t>Plusieurs difficultés ont été rencontrées et surmontées durant le développement. La contrainte du référentiel métier à un nombre fixe de types d’éléments et de relations a nécessité une attention particulière lors de la conception du schéma de données et des règles de validation, afin d’empêcher toute dérive du modèle. La mise en œuvre d’une isolation multi-tenant réellement systématique, sur une vingtaine de modules développés au fil du stage, a demandé une discipline constante : chaque nouveau service devait vérifier explicitement l’appartenance organisationnelle de chaque ressource avant d’y accéder, un oubli isolé suffisant à ouvrir une fuite de données entre deux organisations. Un piège récurrent du framework NestJS a par ailleurs été rencontré à plusieurs reprises sur des contrôleurs distincts : une route déclarée littéralement (par exemple /solutions/gaps) doit impérativement être définie avant une route paramétrée de même préfixe (/solutions/:id), sans quoi la première est silencieusement interprétée comme une valeur du paramètre de la seconde. La conception du module d’analyse des écarts a également nécessité un travail de traduction de la matrice d’écarts TOGAF, décrite de façon abstraite dans la littérature, en un modèle de données concret capable de distinguer un élément conservé, éliminé, modifié ou nouveau entre l’état AS-IS et la cible TO-BE. Enfin, un audit de sécurité mené juste avant la mise en production a mis en évidence qu’une dépendance logicielle récemment ajoutée (bibliothèque d’envoi d’e-mails) comportait deux failles connues de sévérité haute, que le conteneur applicatif s’exécutait avec des privilèges administrateur superflus, et qu’une étape d’application des migrations de base de données manquait au processus de déploiement ; ces trois points ont été corrigés avant que la version ne soit considérée prête pour la production, ce qui illustre l’importance d’un audit de sécurité dédié, distinct de la seule vérification fonctionnelle.</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[Ajouter ici toute autre difficulté personnelle rencontrée : technique, organisationnelle ou d’adaptation au milieu professionnel]</w:t>
      </w:r>
    </w:p>
    <w:p>
      <w:pPr>
        <w:spacing w:after="0" w:before="0" w:line="276" w:lineRule="auto"/>
        <w:ind w:firstLine="567"/>
        <w:jc w:val="both"/>
      </w:pPr>
      <w:r>
        <w:rPr>
          <w:rFonts w:ascii="Times New Roman" w:cs="Times New Roman" w:eastAsia="Times New Roman" w:hAnsi="Times New Roman"/>
          <w:sz w:val="24"/>
          <w:szCs w:val="24"/>
        </w:rPr>
        <w:t xml:space="preserve">En définitive, la plateforme ArchiVision répond au besoin identifié au chapitre précédent en offrant à K&amp;B Digital Lab un référentiel structuré, sécurisé et exploitable de modélisation d’architecture d’entreprise, conforme au standard ArchiMate 3.2 et complété d’un module d’urbanisation du système d’information.</w:t>
      </w:r>
    </w:p>
    <w:p>
      <w:r>
        <w:br w:type="page"/>
      </w:r>
    </w:p>
    <w:p>
      <w:pPr>
        <w:pStyle w:val="Heading1"/>
      </w:pPr>
      <w:r>
        <w:t xml:space="preserve">CONCLUSION GÉNÉRALE</w:t>
      </w:r>
    </w:p>
    <w:p>
      <w:pPr>
        <w:spacing w:after="0" w:before="0" w:line="276" w:lineRule="auto"/>
        <w:ind w:firstLine="567"/>
        <w:jc w:val="both"/>
      </w:pPr>
      <w:r>
        <w:rPr>
          <w:rFonts w:ascii="Times New Roman" w:hAnsi="Times New Roman"/>
          <w:sz w:val="24"/>
        </w:rPr>
        <w:t>Ce stage de fin de cycle Ingénieur 4, effectué au sein de K&amp;B Group SARL, nous a permis de concevoir et de développer ArchiVision, une plateforme de modélisation d’architecture d’entreprise structurée autour du cycle complet de la méthode TOGAF ADM (préparation, vision, architecture métier ArchiMate, données, applicatif et urbanisation, technologique, analyse des écarts, opportunités et solutions, planification de la migration, gouvernance et évaluation continue), sécurisée par une isolation multi-tenant et un contrôle d’accès par rôle, et validée par une suite de tests automatisés exécutée en continu. Ce travail répond à un besoin réel identifié au sein du pôle K&amp;B Digital Lab : l’absence d’outil structuré permettant de formaliser, de façon rigoureuse et réutilisable, les livrables des missions de conseil et d’audit organisationnel menées par K&amp;B Management.</w:t>
      </w:r>
    </w:p>
    <w:p>
      <w:pPr>
        <w:spacing w:after="0" w:before="0" w:line="276" w:lineRule="auto"/>
        <w:ind w:firstLine="567"/>
        <w:jc w:val="both"/>
      </w:pPr>
      <w:r>
        <w:rPr>
          <w:rFonts w:ascii="Times New Roman" w:cs="Times New Roman" w:eastAsia="Times New Roman" w:hAnsi="Times New Roman"/>
          <w:sz w:val="24"/>
          <w:szCs w:val="24"/>
        </w:rPr>
        <w:t xml:space="preserve">La démarche suivie nous a conduits à analyser le besoin, à concevoir un référentiel de données fidèle au vocabulaire métier de l’entreprise, à développer une interface de programmation sécurisée et testée, puis à outiller cette dernière d’une visualisation graphique directement exploitable. Sur le plan personnel, ce stage a constitué une mise en pratique concrète et exigeante des enseignements reçus à l’Institut Saint Jean, tant sur le plan technique (conception d’architecture logicielle, sécurité applicative, qualité et tests) que sur le plan professionnel (autonomie, rigueur, communication avec une équipe).</w:t>
      </w:r>
    </w:p>
    <w:p>
      <w:pPr>
        <w:spacing w:after="0" w:before="0" w:line="276" w:lineRule="auto"/>
        <w:ind w:firstLine="567"/>
        <w:jc w:val="both"/>
      </w:pPr>
      <w:r>
        <w:rPr>
          <w:rFonts w:ascii="Times New Roman" w:hAnsi="Times New Roman"/>
          <w:sz w:val="24"/>
        </w:rPr>
        <w:t>Plusieurs perspectives d’amélioration se dégagent de ce travail : la mise en place d’une vérification d’identité réelle de l’entreprise lors de la revue d’une nouvelle organisation par le super-administrateur (registre du commerce, double authentification par e-mail), au-delà de la relecture visuelle des informations déclarées ; l’ajout de fonctionnalités collaboratives en temps réel pour les missions menées à plusieurs consultants ; l’enrichissement de la génération automatique de diagramme BPMN, aujourd’hui volontairement linéaire, par la détection de branches conditionnelles réelles ; et le développement d’une application mobile ou d’un mode hors connexion pour la consultation du référentiel sur le terrain.</w:t>
      </w:r>
    </w:p>
    <w:p>
      <w:pPr>
        <w:spacing w:line="276" w:lineRule="auto"/>
        <w:ind w:firstLine="567"/>
        <w:jc w:val="both"/>
      </w:pPr>
      <w:r>
        <w:rPr>
          <w:rFonts w:ascii="Times New Roman" w:cs="Times New Roman" w:eastAsia="Times New Roman" w:hAnsi="Times New Roman"/>
          <w:sz w:val="24"/>
          <w:szCs w:val="24"/>
          <w:highlight w:val="yellow"/>
          <w:highlightCs w:val="yellow"/>
        </w:rPr>
        <w:t xml:space="preserve">[Ajouter ici une conclusion personnelle sur l’apport global du stage pour votre parcours]</w:t>
      </w:r>
    </w:p>
    <w:p>
      <w:r>
        <w:br w:type="page"/>
      </w:r>
    </w:p>
    <w:p>
      <w:pPr>
        <w:pStyle w:val="Heading1"/>
      </w:pPr>
      <w:r>
        <w:t xml:space="preserve">RÉFÉRENCES BIBLIOGRAPHIQUES</w:t>
      </w:r>
    </w:p>
    <w:p>
      <w:pPr>
        <w:spacing w:after="0" w:before="0" w:line="276" w:lineRule="auto"/>
        <w:jc w:val="both"/>
      </w:pPr>
      <w:r>
        <w:rPr>
          <w:rFonts w:ascii="Times New Roman" w:cs="Times New Roman" w:eastAsia="Times New Roman" w:hAnsi="Times New Roman"/>
          <w:sz w:val="24"/>
          <w:szCs w:val="24"/>
        </w:rPr>
        <w:t xml:space="preserve">The Open Group, (2019), ArchiMate 3.2 Specification, The Open Group.</w:t>
      </w:r>
    </w:p>
    <w:p>
      <w:pPr>
        <w:spacing w:after="0" w:before="0" w:line="276" w:lineRule="auto"/>
        <w:jc w:val="both"/>
      </w:pPr>
      <w:r>
        <w:rPr>
          <w:rFonts w:ascii="Times New Roman" w:cs="Times New Roman" w:eastAsia="Times New Roman" w:hAnsi="Times New Roman"/>
          <w:sz w:val="24"/>
          <w:szCs w:val="24"/>
        </w:rPr>
        <w:t xml:space="preserve">The Open Group, (2018), TOGAF Standard, Version 9.2, The Open Group.</w:t>
      </w:r>
    </w:p>
    <w:p>
      <w:pPr>
        <w:spacing w:after="0" w:before="0" w:line="276" w:lineRule="auto"/>
        <w:jc w:val="both"/>
      </w:pPr>
      <w:r>
        <w:rPr>
          <w:rFonts w:ascii="Times New Roman" w:cs="Times New Roman" w:eastAsia="Times New Roman" w:hAnsi="Times New Roman"/>
          <w:sz w:val="24"/>
          <w:szCs w:val="24"/>
        </w:rPr>
        <w:t xml:space="preserve">Institut Saint Jean, (2025), Guide de rédaction du rapport de stage projet, ISJ.</w:t>
      </w:r>
    </w:p>
    <w:p>
      <w:pPr>
        <w:spacing w:after="0" w:before="0" w:line="276" w:lineRule="auto"/>
        <w:jc w:val="both"/>
      </w:pPr>
      <w:r>
        <w:rPr>
          <w:rFonts w:ascii="Times New Roman" w:cs="Times New Roman" w:eastAsia="Times New Roman" w:hAnsi="Times New Roman"/>
          <w:sz w:val="24"/>
          <w:szCs w:val="24"/>
        </w:rPr>
        <w:t xml:space="preserve">NestJS, « Documentation NestJS », Site, https://docs.nestjs.com (consulté le 06/08/2026).</w:t>
      </w:r>
    </w:p>
    <w:p>
      <w:pPr>
        <w:spacing w:after="0" w:before="0" w:line="276" w:lineRule="auto"/>
        <w:jc w:val="both"/>
      </w:pPr>
      <w:r>
        <w:rPr>
          <w:rFonts w:ascii="Times New Roman" w:cs="Times New Roman" w:eastAsia="Times New Roman" w:hAnsi="Times New Roman"/>
          <w:sz w:val="24"/>
          <w:szCs w:val="24"/>
        </w:rPr>
        <w:t xml:space="preserve">Prisma, « Documentation Prisma », Site, https://www.prisma.io/docs (consulté le 06/08/2026).</w:t>
      </w:r>
    </w:p>
    <w:p>
      <w:pPr>
        <w:spacing w:after="0" w:before="0" w:line="276" w:lineRule="auto"/>
        <w:jc w:val="both"/>
      </w:pPr>
      <w:r>
        <w:rPr>
          <w:rFonts w:ascii="Times New Roman" w:cs="Times New Roman" w:eastAsia="Times New Roman" w:hAnsi="Times New Roman"/>
          <w:sz w:val="24"/>
          <w:szCs w:val="24"/>
        </w:rPr>
        <w:t xml:space="preserve">K&amp;B Group SARL, « À propos », Site, https://kbgroupesarl.com/a-propos.html (consulté le 06/08/2026).</w:t>
      </w:r>
    </w:p>
    <w:p>
      <w:r>
        <w:br w:type="page"/>
      </w:r>
    </w:p>
    <w:p>
      <w:pPr>
        <w:pStyle w:val="Heading1"/>
      </w:pPr>
      <w:r>
        <w:t xml:space="preserve">ANNEXES</w:t>
      </w:r>
    </w:p>
    <w:p>
      <w:pPr>
        <w:pStyle w:val="Heading2"/>
      </w:pPr>
      <w:r>
        <w:t xml:space="preserve">Annexe A. Extrait du schéma de données Prisma</w:t>
      </w:r>
    </w:p>
    <w:p>
      <w:pPr>
        <w:shd w:fill="F2F2F2"/>
        <w:spacing w:line="260" w:lineRule="auto"/>
      </w:pPr>
      <w:r>
        <w:rPr>
          <w:rFonts w:ascii="Consolas" w:cs="Consolas" w:eastAsia="Consolas" w:hAnsi="Consolas"/>
          <w:sz w:val="20"/>
          <w:szCs w:val="20"/>
        </w:rPr>
        <w:t xml:space="preserve">model ElementArchimate {
  id               String          @id @default(uuid())
  nom              String
  type             TypeElement
  description      String?
  organisationId   String
  organisation     Organisation    @relation(fields: [organisationId], references: [id])
  capaciteMetierId String?
  capacite         CapaciteMetier? @relation(fields: [capaciteMetierId], references: [id])
}</w:t>
      </w:r>
    </w:p>
    <w:p>
      <w:pPr>
        <w:spacing w:after="200"/>
      </w:pPr>
    </w:p>
    <w:p>
      <w:pPr>
        <w:pStyle w:val="Heading2"/>
      </w:pPr>
      <w:r>
        <w:t xml:space="preserve">Annexe B. Exemple de requête d’authentification</w:t>
      </w:r>
    </w:p>
    <w:p>
      <w:pPr>
        <w:shd w:fill="F2F2F2"/>
        <w:spacing w:line="260" w:lineRule="auto"/>
      </w:pPr>
      <w:r>
        <w:rPr>
          <w:rFonts w:ascii="Consolas" w:cs="Consolas" w:eastAsia="Consolas" w:hAnsi="Consolas"/>
          <w:sz w:val="20"/>
          <w:szCs w:val="20"/>
        </w:rPr>
        <w:t xml:space="preserve">POST /auth/login
{
  "email": "admin@archivision.local",
  "password": "Admin123!"
}
Réponse 200 :
{
  "accessToken": "...",
  "user": { "id": "...", "email": "...", "nom": "..." }
}</w:t>
      </w:r>
    </w:p>
    <w:p>
      <w:pPr>
        <w:spacing w:after="200"/>
      </w:pPr>
    </w:p>
    <w:p>
      <w:pPr>
        <w:pStyle w:val="Heading2"/>
      </w:pPr>
      <w:r>
        <w:t xml:space="preserve">Annexe C. Captures d’écran des vues générées</w:t>
      </w:r>
    </w:p>
    <w:p>
      <w:pPr>
        <w:jc w:val="center"/>
      </w:pPr>
      <w:r>
        <w:rPr>
          <w:rFonts w:ascii="Times New Roman" w:cs="Times New Roman" w:eastAsia="Times New Roman" w:hAnsi="Times New Roman"/>
          <w:sz w:val="24"/>
          <w:szCs w:val="24"/>
          <w:highlight w:val="yellow"/>
          <w:highlightCs w:val="yellow"/>
        </w:rPr>
        <w:t xml:space="preserve">[Insérer ici les captures d’écran des vues SVG (couche Métier et POS) générées par l’application en fonctionnement]</w:t>
      </w:r>
    </w:p>
    <w:p>
      <w:r>
        <w:br w:type="page"/>
      </w:r>
    </w:p>
    <w:p>
      <w:pPr>
        <w:spacing w:after="300"/>
        <w:jc w:val="center"/>
      </w:pPr>
      <w:r>
        <w:rPr>
          <w:rFonts w:ascii="Times New Roman" w:cs="Times New Roman" w:eastAsia="Times New Roman" w:hAnsi="Times New Roman"/>
          <w:b/>
          <w:bCs/>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sectPr>
      <w:footerReference w:type="default" r:id="rId8"/>
      <w:pgSz w:w="11906" w:h="16838" w:orient="portrait"/>
      <w:pgMar w:top="1418" w:right="1418" w:bottom="1418" w:left="141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00" w:before="240" w:line="276" w:lineRule="auto"/>
      <w:jc w:val="center"/>
      <w:outlineLvl w:val="0"/>
    </w:pPr>
    <w:rPr>
      <w:rFonts w:ascii="Times New Roman" w:cs="Times New Roman" w:eastAsia="Times New Roman" w:hAnsi="Times New Roman"/>
      <w:b/>
      <w:bCs/>
      <w:color w:val="000000"/>
      <w:sz w:val="30"/>
      <w:szCs w:val="30"/>
      <w:u w:val="single"/>
    </w:rPr>
  </w:style>
  <w:style w:type="paragraph" w:styleId="Heading2">
    <w:name w:val="Heading 2"/>
    <w:basedOn w:val="Normal"/>
    <w:next w:val="Normal"/>
    <w:qFormat/>
    <w:pPr>
      <w:keepNext/>
      <w:spacing w:after="160" w:before="240" w:line="276" w:lineRule="auto"/>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20" w:before="200" w:line="276" w:lineRule="auto"/>
      <w:jc w:val="left"/>
      <w:outlineLvl w:val="2"/>
    </w:pPr>
    <w:rPr>
      <w:rFonts w:ascii="Times New Roman" w:cs="Times New Roman" w:eastAsia="Times New Roman" w:hAnsi="Times New Roman"/>
      <w:b/>
      <w:bCs/>
      <w:i w:val="false"/>
      <w:iCs w:val="false"/>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2026-08-06T07:46:47.794Z</dcterms:created>
  <dcterms:modified xsi:type="dcterms:W3CDTF">2026-08-06T07:46:47.795Z</dcterms:modified>
</cp:coreProperties>
</file>

<file path=docProps/custom.xml><?xml version="1.0" encoding="utf-8"?>
<Properties xmlns="http://schemas.openxmlformats.org/officeDocument/2006/custom-properties" xmlns:vt="http://schemas.openxmlformats.org/officeDocument/2006/docPropsVTypes"/>
</file>