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4E78"/>
          <w:sz w:val="24"/>
          <w:szCs w:val="24"/>
        </w:rPr>
        <w:t xml:space="preserve">K&amp;B GROUP SARL</w:t>
      </w:r>
    </w:p>
    <w:p>
      <w:pPr>
        <w:spacing w:after="100"/>
        <w:jc w:val="center"/>
      </w:pPr>
      <w:r>
        <w:rPr>
          <w:rFonts w:ascii="Calibri" w:cs="Calibri" w:eastAsia="Calibri" w:hAnsi="Calibri"/>
          <w:b/>
          <w:bCs/>
          <w:color w:val="1F4E78"/>
          <w:sz w:val="56"/>
          <w:szCs w:val="56"/>
        </w:rPr>
        <w:t xml:space="preserve">ArchiVision</w:t>
      </w:r>
    </w:p>
    <w:p>
      <w:pPr>
        <w:spacing w:after="600"/>
        <w:jc w:val="center"/>
      </w:pPr>
      <w:r>
        <w:rPr>
          <w:rFonts w:ascii="Calibri" w:cs="Calibri" w:eastAsia="Calibri" w:hAnsi="Calibri"/>
          <w:i/>
          <w:iCs/>
          <w:sz w:val="26"/>
          <w:szCs w:val="26"/>
        </w:rPr>
        <w:t xml:space="preserve">Plateforme de modélisation d’architecture d’entreprise et d’urbanisation du système d’information</w:t>
      </w:r>
    </w:p>
    <w:p>
      <w:pPr>
        <w:spacing w:after="100"/>
        <w:jc w:val="center"/>
      </w:pPr>
      <w:r>
        <w:rPr>
          <w:rFonts w:ascii="Calibri" w:cs="Calibri" w:eastAsia="Calibri" w:hAnsi="Calibri"/>
          <w:b/>
          <w:bCs/>
          <w:sz w:val="36"/>
          <w:szCs w:val="36"/>
        </w:rPr>
        <w:t xml:space="preserve">CAHIER DES CHARGES TECHNIQUE</w:t>
      </w:r>
    </w:p>
    <w:p>
      <w:pPr>
        <w:spacing w:after="1200"/>
        <w:jc w:val="center"/>
      </w:pPr>
      <w:r>
        <w:rPr>
          <w:rFonts w:ascii="Calibri" w:cs="Calibri" w:eastAsia="Calibri" w:hAnsi="Calibri"/>
          <w:color w:val="808080"/>
          <w:sz w:val="24"/>
          <w:szCs w:val="24"/>
        </w:rPr>
        <w:t xml:space="preserve">Version 3</w:t>
      </w:r>
    </w:p>
    <w:p>
      <w:pPr>
        <w:spacing w:after="80"/>
        <w:jc w:val="center"/>
      </w:pPr>
      <w:r>
        <w:rPr>
          <w:rFonts w:ascii="Calibri" w:cs="Calibri" w:eastAsia="Calibri" w:hAnsi="Calibri"/>
          <w:sz w:val="22"/>
          <w:szCs w:val="22"/>
        </w:rPr>
        <w:t xml:space="preserve">Stage académique — 23 juillet au 4 septembre 2026</w:t>
      </w:r>
    </w:p>
    <w:p>
      <w:pPr>
        <w:spacing w:after="80"/>
        <w:jc w:val="center"/>
      </w:pPr>
      <w:r>
        <w:rPr>
          <w:rFonts w:ascii="Calibri" w:cs="Calibri" w:eastAsia="Calibri" w:hAnsi="Calibri"/>
          <w:sz w:val="22"/>
          <w:szCs w:val="22"/>
        </w:rPr>
        <w:t xml:space="preserve">K&amp;B Group SARL — Yaoundé, Cameroun</w:t>
      </w:r>
    </w:p>
    <w:p>
      <w:pPr>
        <w:jc w:val="center"/>
      </w:pPr>
      <w:r>
        <w:rPr>
          <w:rFonts w:ascii="Calibri" w:cs="Calibri" w:eastAsia="Calibri" w:hAnsi="Calibri"/>
          <w:sz w:val="22"/>
          <w:szCs w:val="22"/>
        </w:rPr>
        <w:t xml:space="preserve">Institut Saint Jean — Cycle Ingénieur</w:t>
      </w:r>
    </w:p>
    <w:p>
      <w:pPr>
        <w:sectPr>
          <w:pgSz w:w="11906" w:h="16838" w:orient="portrait"/>
          <w:pgMar w:top="1134" w:right="1134" w:bottom="1134" w:left="1134" w:header="708" w:footer="708" w:gutter="0"/>
          <w:pgNumType/>
          <w:docGrid w:linePitch="360"/>
        </w:sectPr>
      </w:pPr>
    </w:p>
    <w:p>
      <w:pPr>
        <w:spacing w:after="300"/>
        <w:jc w:val="center"/>
      </w:pPr>
      <w:r>
        <w:rPr>
          <w:rFonts w:ascii="Calibri" w:cs="Calibri" w:eastAsia="Calibri" w:hAnsi="Calibri"/>
          <w:b/>
          <w:bCs/>
          <w:color w:val="1F4E78"/>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before="200"/>
      </w:pPr>
      <w:r>
        <w:rPr>
          <w:rFonts w:ascii="Calibri" w:cs="Calibri" w:eastAsia="Calibri" w:hAnsi="Calibri"/>
          <w:i/>
          <w:iCs/>
          <w:color w:val="2E74B5"/>
          <w:sz w:val="20"/>
          <w:szCs w:val="20"/>
        </w:rPr>
        <w:t xml:space="preserve">(Clic droit → Mettre à jour les champs, une fois le document ouvert dans Word, pour afficher la pagination.)</w:t>
      </w:r>
    </w:p>
    <w:p>
      <w:r>
        <w:br w:type="page"/>
      </w:r>
    </w:p>
    <w:p>
      <w:pPr>
        <w:pStyle w:val="Heading1"/>
      </w:pPr>
      <w:r>
        <w:t xml:space="preserve">I. Introduction</w:t>
      </w:r>
    </w:p>
    <w:p>
      <w:pPr>
        <w:spacing w:after="160" w:before="0" w:line="264" w:lineRule="auto"/>
        <w:jc w:val="both"/>
      </w:pPr>
      <w:r>
        <w:rPr>
          <w:rFonts w:ascii="Calibri" w:cs="Calibri" w:eastAsia="Calibri" w:hAnsi="Calibri"/>
          <w:sz w:val="22"/>
          <w:szCs w:val="22"/>
        </w:rPr>
        <w:t xml:space="preserve">Dans un contexte de transformation numérique des organisations, la maîtrise et la gouvernance du système d’information (l’ensemble des outils, applications et données qui font fonctionner une entreprise au quotidien) constituent un enjeu stratégique majeur. La multiplication des applications, l’hétérogénéité des infrastructures et la nécessité d’aligner le système d’information sur la stratégie de l’entreprise rendent indispensable une démarche structurée d’architecture d’entreprise.</w:t>
      </w:r>
    </w:p>
    <w:p>
      <w:pPr>
        <w:spacing w:after="160" w:before="0" w:line="264" w:lineRule="auto"/>
        <w:jc w:val="both"/>
      </w:pPr>
      <w:r>
        <w:rPr>
          <w:rFonts w:ascii="Calibri" w:cs="Calibri" w:eastAsia="Calibri" w:hAnsi="Calibri"/>
          <w:sz w:val="22"/>
          <w:szCs w:val="22"/>
        </w:rPr>
        <w:t xml:space="preserve">Le présent document constitue le Cahier des Charges Technique du projet ArchiVision, une application web dédiée à la modélisation de l’architecture d’entreprise et à l’urbanisation des systèmes d’information selon les standards internationaux TOGAF 10 et ArchiMate 3.2. Il est réalisé dans le cadre d’un stage académique individuel mené au sein de K&amp;B Group SARL, entreprise camerounaise de formation professionnelle, de conseil organisationnel et d’innovation digitale, qui sert de terrain d’application concret à la démarche.</w:t>
      </w:r>
    </w:p>
    <w:tbl>
      <w:tblPr>
        <w:tblW w:type="dxa" w:w="9356"/>
        <w:tblBorders>
          <w:top w:val="single" w:color="2E74B5" w:sz="4"/>
          <w:left w:val="single" w:color="2E74B5" w:sz="4"/>
          <w:bottom w:val="single" w:color="2E74B5" w:sz="4"/>
          <w:right w:val="single" w:color="2E74B5" w:sz="4"/>
          <w:insideH w:val="single" w:color="auto" w:sz="4"/>
          <w:insideV w:val="single" w:color="auto" w:sz="4"/>
        </w:tblBorders>
      </w:tblPr>
      <w:tblGrid>
        <w:gridCol w:w="100"/>
      </w:tblGrid>
      <w:tr>
        <w:tc>
          <w:tcPr>
            <w:tcW w:type="dxa" w:w="9356"/>
            <w:shd w:fill="EAF1FA" w:val="clear"/>
            <w:tcMar>
              <w:top w:type="dxa" w:w="120"/>
              <w:left w:type="dxa" w:w="160"/>
              <w:bottom w:type="dxa" w:w="120"/>
              <w:right w:type="dxa" w:w="160"/>
            </w:tcMar>
          </w:tcPr>
          <w:p>
            <w:pPr>
              <w:spacing w:after="80"/>
            </w:pPr>
            <w:r>
              <w:rPr>
                <w:rFonts w:ascii="Calibri" w:cs="Calibri" w:eastAsia="Calibri" w:hAnsi="Calibri"/>
                <w:b/>
                <w:bCs/>
                <w:color w:val="1F4E78"/>
                <w:sz w:val="22"/>
                <w:szCs w:val="22"/>
              </w:rPr>
              <w:t xml:space="preserve">En clair</w:t>
            </w:r>
          </w:p>
          <w:p>
            <w:pPr>
              <w:spacing w:line="264" w:lineRule="auto"/>
            </w:pPr>
            <w:r>
              <w:rPr>
                <w:rFonts w:ascii="Calibri" w:cs="Calibri" w:eastAsia="Calibri" w:hAnsi="Calibri"/>
                <w:i/>
                <w:iCs/>
                <w:sz w:val="22"/>
                <w:szCs w:val="22"/>
              </w:rPr>
              <w:t xml:space="preserve">TOGAF et ArchiMate ne sont pas des logiciels, mais des méthodes et des vocabulaires standardisés, reconnus internationalement, pour décrire de façon rigoureuse comment une entreprise fonctionne (ses activités, ses acteurs, ses outils informatiques) et comment ces éléments s’articulent entre eux — un peu comme des normes de dessin technique communes à tous les architectes du bâtiment.</w:t>
            </w:r>
          </w:p>
        </w:tc>
      </w:tr>
    </w:tbl>
    <w:p>
      <w:pPr>
        <w:spacing w:after="160" w:before="0" w:line="264" w:lineRule="auto"/>
        <w:jc w:val="both"/>
      </w:pPr>
      <w:r>
        <w:rPr>
          <w:rFonts w:ascii="Calibri" w:cs="Calibri" w:eastAsia="Calibri" w:hAnsi="Calibri"/>
          <w:sz w:val="22"/>
          <w:szCs w:val="22"/>
        </w:rPr>
        <w:t xml:space="preserve">Ce document vise à définir de manière précise et non ambiguë le périmètre fonctionnel et technique de la solution à développer dans le temps imparti au stage, les contraintes à respecter, les choix technologiques retenus — expliqués ici en termes accessibles à un lecteur non-informaticien — ainsi que les modalités d’organisation du travail. Il s’articule autour des grandes lignes suivantes : présentation générale du projet, description du contexte, spécification des besoins, objectifs visés, solution proposée, démarche d’intervention, présentation de l’intervenant et ressources mobilisées.</w:t>
      </w:r>
    </w:p>
    <w:p>
      <w:pPr>
        <w:pStyle w:val="Heading1"/>
      </w:pPr>
      <w:r>
        <w:t xml:space="preserve">II. Présentation générale du projet</w:t>
      </w:r>
    </w:p>
    <w:p>
      <w:pPr>
        <w:spacing w:after="160" w:before="0" w:line="264" w:lineRule="auto"/>
        <w:jc w:val="both"/>
      </w:pPr>
      <w:r>
        <w:rPr>
          <w:rFonts w:ascii="Calibri" w:cs="Calibri" w:eastAsia="Calibri" w:hAnsi="Calibri"/>
          <w:sz w:val="22"/>
          <w:szCs w:val="22"/>
        </w:rPr>
        <w:t xml:space="preserve">ArchiVision se positionne comme une Enterprise Architecture Management Platform (EAMP), c’est-à-dire une plateforme de gestion de la connaissance d’une entreprise plutôt qu’un simple outil de dessin. Le référentiel d’entreprise — une base d’informations unique et centralisée décrivant l’organisation, ses activités et ses outils — constitue le cœur de l’application ; les diagrammes ne sont pas dessinés à la main mais générés automatiquement à partir de ce référentiel. Cette philosophie est pleinement alignée avec TOGAF, qui distingue le contenu de l’architecture (le référentiel, la donnée) de sa représentation (les vues, les diagrammes) — de la même manière qu’un plan de bâtiment n’est qu’une représentation du bâtiment réel, et non le bâtiment lui-même.</w:t>
      </w:r>
    </w:p>
    <w:p>
      <w:pPr>
        <w:spacing w:after="160" w:before="0" w:line="264" w:lineRule="auto"/>
        <w:jc w:val="both"/>
      </w:pPr>
      <w:r>
        <w:rPr>
          <w:rFonts w:ascii="Calibri" w:cs="Calibri" w:eastAsia="Calibri" w:hAnsi="Calibri"/>
          <w:sz w:val="22"/>
          <w:szCs w:val="22"/>
        </w:rPr>
        <w:t xml:space="preserve">La vision complète du produit couvre douze domaines fonctionnels (organisations, gouvernance stratégique, architecture métier, processus, architecture applicative, architecture des données, architecture technique, référentiel documentaire, collaboration, diagrammes générés, analyses, intelligence artificielle). Compte tenu du cadre réel du stage — un développeur unique, sur une période de six semaines allant du 23 juillet au 4 septembre 2026 — le périmètre effectivement développé et démontré se concentre strictement sur les deux piliers du thème de stage :</w:t>
      </w:r>
    </w:p>
    <w:p>
      <w:pPr>
        <w:pStyle w:val="ListParagraph"/>
        <w:numPr>
          <w:ilvl w:val="0"/>
          <w:numId w:val="1"/>
        </w:numPr>
        <w:spacing w:after="100" w:line="264" w:lineRule="auto"/>
        <w:jc w:val="both"/>
      </w:pPr>
      <w:r>
        <w:rPr>
          <w:rFonts w:ascii="Calibri" w:cs="Calibri" w:eastAsia="Calibri" w:hAnsi="Calibri"/>
          <w:sz w:val="22"/>
          <w:szCs w:val="22"/>
        </w:rPr>
        <w:t xml:space="preserve">la modélisation de l’architecture d’entreprise, à travers un référentiel des éléments de la couche Métier d’ArchiMate et la génération automatique d’une vue graphique de cette architecture ;</w:t>
      </w:r>
    </w:p>
    <w:p>
      <w:pPr>
        <w:pStyle w:val="ListParagraph"/>
        <w:numPr>
          <w:ilvl w:val="0"/>
          <w:numId w:val="1"/>
        </w:numPr>
        <w:spacing w:after="100" w:line="264" w:lineRule="auto"/>
        <w:jc w:val="both"/>
      </w:pPr>
      <w:r>
        <w:rPr>
          <w:rFonts w:ascii="Calibri" w:cs="Calibri" w:eastAsia="Calibri" w:hAnsi="Calibri"/>
          <w:sz w:val="22"/>
          <w:szCs w:val="22"/>
        </w:rPr>
        <w:t xml:space="preserve">l’urbanisation des systèmes d’information, à travers la structuration du patrimoine applicatif en zones, quartiers et îlots (par analogie avec l’urbanisme d’une ville), et la production automatique d’un Plan d’Occupation des Sols (POS).</w:t>
      </w:r>
    </w:p>
    <w:p>
      <w:pPr>
        <w:spacing w:after="160" w:before="0" w:line="264" w:lineRule="auto"/>
        <w:jc w:val="both"/>
      </w:pPr>
      <w:r>
        <w:rPr>
          <w:rFonts w:ascii="Calibri" w:cs="Calibri" w:eastAsia="Calibri" w:hAnsi="Calibri"/>
          <w:sz w:val="22"/>
          <w:szCs w:val="22"/>
        </w:rPr>
        <w:t xml:space="preserve">L’ensemble est instancié et démontré sur le cas réel de K&amp;B Group SARL. Les dix autres domaines fonctionnels de la vision EAMP restent documentés dans ce cahier des charges et dans le Product Backlog associé, comme feuille de route produit, hors du périmètre effectivement codé durant le stage.</w:t>
      </w:r>
    </w:p>
    <w:p>
      <w:pPr>
        <w:spacing w:after="160" w:before="0" w:line="264" w:lineRule="auto"/>
        <w:jc w:val="both"/>
      </w:pPr>
      <w:r>
        <w:rPr>
          <w:rFonts w:ascii="Calibri" w:cs="Calibri" w:eastAsia="Calibri" w:hAnsi="Calibri"/>
          <w:sz w:val="22"/>
          <w:szCs w:val="22"/>
        </w:rPr>
        <w:t xml:space="preserve">L’approche de développement est agile et individuelle : un backlog priorisé selon la méthode MoSCoW (expliquée en section VII) remplace l’organisation classique en sprints d’équipe, et le travail est organisé en six semaines calendaires plutôt qu’en itérations de deux semaines.</w:t>
      </w:r>
    </w:p>
    <w:p>
      <w:pPr>
        <w:pStyle w:val="Heading1"/>
      </w:pPr>
      <w:r>
        <w:t xml:space="preserve">III. Description du contexte</w:t>
      </w:r>
    </w:p>
    <w:p>
      <w:pPr>
        <w:pStyle w:val="Heading2"/>
      </w:pPr>
      <w:r>
        <w:t xml:space="preserve">a) Contexte académique</w:t>
      </w:r>
    </w:p>
    <w:p>
      <w:pPr>
        <w:spacing w:after="160" w:before="0" w:line="264" w:lineRule="auto"/>
        <w:jc w:val="both"/>
      </w:pPr>
      <w:r>
        <w:rPr>
          <w:rFonts w:ascii="Calibri" w:cs="Calibri" w:eastAsia="Calibri" w:hAnsi="Calibri"/>
          <w:sz w:val="22"/>
          <w:szCs w:val="22"/>
        </w:rPr>
        <w:t xml:space="preserve">Ce projet s’inscrit dans le cadre du cycle Ingénieur en Informatique et Systèmes d’Information et prend la forme d’un stage académique individuel au sein de K&amp;B Group SARL. Il répond aux exigences pédagogiques relatives à la maîtrise des méthodes agiles, des référentiels d’architecture d’entreprise reconnus internationalement (TOGAF, ArchiMate), et des technologies web modernes. Il donne lieu à la production d’un rapport de stage documentant la démarche, les choix techniques et les résultats obtenus.</w:t>
      </w:r>
    </w:p>
    <w:p>
      <w:pPr>
        <w:pStyle w:val="Heading2"/>
      </w:pPr>
      <w:r>
        <w:t xml:space="preserve">b) Contexte technologique et sociétal</w:t>
      </w:r>
    </w:p>
    <w:p>
      <w:pPr>
        <w:spacing w:after="160" w:before="0" w:line="264" w:lineRule="auto"/>
        <w:jc w:val="both"/>
      </w:pPr>
      <w:r>
        <w:rPr>
          <w:rFonts w:ascii="Calibri" w:cs="Calibri" w:eastAsia="Calibri" w:hAnsi="Calibri"/>
          <w:sz w:val="22"/>
          <w:szCs w:val="22"/>
        </w:rPr>
        <w:t xml:space="preserve">La transformation numérique des organisations génère une complexité croissante des systèmes d’information. Les directions des systèmes d’information font face à des défis majeurs : multiplication des applications, hétérogénéité des infrastructures, nécessité d’aligner le système d’information sur la stratégie métier, et exigences de gouvernance renforcées. Les outils existants sur le marché (Sparx Enterprise Architect, BiZZdesign, MEGA HOPEX, Orbus Infinity) sont coûteux, complexes à déployer et peu adaptés aux structures de taille moyenne des organisations camerounaises et africaines.</w:t>
      </w:r>
    </w:p>
    <w:p>
      <w:pPr>
        <w:spacing w:after="160" w:before="0" w:line="264" w:lineRule="auto"/>
        <w:jc w:val="both"/>
      </w:pPr>
      <w:r>
        <w:rPr>
          <w:rFonts w:ascii="Calibri" w:cs="Calibri" w:eastAsia="Calibri" w:hAnsi="Calibri"/>
          <w:sz w:val="22"/>
          <w:szCs w:val="22"/>
        </w:rPr>
        <w:t xml:space="preserve">Le cas de K&amp;B Group SARL illustre concrètement cette problématique : l’entreprise s’appuie aujourd’hui sur une infrastructure technique simple et des processus encore partiellement manuels ou portés par des outils bureautiques, alors que son ambition de devenir une référence panafricaine du développement des compétences suppose une architecture applicative et une urbanisation clairement structurées. Le standard ArchiMate 3.2 et le cadre méthodologique TOGAF 10 constituent les références retenues pour documenter cette transformation.</w:t>
      </w:r>
    </w:p>
    <w:p>
      <w:pPr>
        <w:pStyle w:val="Heading1"/>
      </w:pPr>
      <w:r>
        <w:t xml:space="preserve">IV. Définition du problème</w:t>
      </w:r>
    </w:p>
    <w:p>
      <w:pPr>
        <w:spacing w:after="160" w:before="0" w:line="264" w:lineRule="auto"/>
        <w:jc w:val="both"/>
      </w:pPr>
      <w:r>
        <w:rPr>
          <w:rFonts w:ascii="Calibri" w:cs="Calibri" w:eastAsia="Calibri" w:hAnsi="Calibri"/>
          <w:sz w:val="22"/>
          <w:szCs w:val="22"/>
        </w:rPr>
        <w:t xml:space="preserve">Les organisations comme K&amp;B Group SARL ne disposent généralement d’aucun outil dédié à la modélisation et à la gouvernance de leur architecture d’entreprise. Les représentations existantes, quand elles existent, sont produites de manière disparate (présentations, feuilles de calcul), sans référentiel commun ni alignement explicite sur un cadre méthodologique reconnu.</w:t>
      </w:r>
    </w:p>
    <w:p>
      <w:pPr>
        <w:pStyle w:val="Heading2"/>
      </w:pPr>
      <w:r>
        <w:t xml:space="preserve">a) Besoins fonctionnels</w:t>
      </w:r>
    </w:p>
    <w:p>
      <w:pPr>
        <w:pStyle w:val="Heading3"/>
      </w:pPr>
      <w:r>
        <w:t xml:space="preserve">1. Besoins liés au référentiel d’entreprise</w:t>
      </w:r>
    </w:p>
    <w:p>
      <w:pPr>
        <w:pStyle w:val="ListParagraph"/>
        <w:numPr>
          <w:ilvl w:val="0"/>
          <w:numId w:val="1"/>
        </w:numPr>
        <w:spacing w:after="100" w:line="264" w:lineRule="auto"/>
        <w:jc w:val="both"/>
      </w:pPr>
      <w:r>
        <w:rPr>
          <w:rFonts w:ascii="Calibri" w:cs="Calibri" w:eastAsia="Calibri" w:hAnsi="Calibri"/>
          <w:sz w:val="22"/>
          <w:szCs w:val="22"/>
        </w:rPr>
        <w:t xml:space="preserve">Créer, consulter et mettre à jour les objets fondamentaux du référentiel : organisation, capacité métier, élément ArchiMate, application, zone d’urbanisation.</w:t>
      </w:r>
    </w:p>
    <w:p>
      <w:pPr>
        <w:pStyle w:val="ListParagraph"/>
        <w:numPr>
          <w:ilvl w:val="0"/>
          <w:numId w:val="1"/>
        </w:numPr>
        <w:spacing w:after="100" w:line="264" w:lineRule="auto"/>
        <w:jc w:val="both"/>
      </w:pPr>
      <w:r>
        <w:rPr>
          <w:rFonts w:ascii="Calibri" w:cs="Calibri" w:eastAsia="Calibri" w:hAnsi="Calibri"/>
          <w:sz w:val="22"/>
          <w:szCs w:val="22"/>
        </w:rPr>
        <w:t xml:space="preserve">Garantir qu’un même objet (une application, un processus, une capacité) n’existe qu’une seule fois et soit réutilisé par toutes les vues qui le concernent.</w:t>
      </w:r>
    </w:p>
    <w:p>
      <w:pPr>
        <w:pStyle w:val="Heading3"/>
      </w:pPr>
      <w:r>
        <w:t xml:space="preserve">2. Besoins liés à la modélisation de l’architecture métier</w:t>
      </w:r>
    </w:p>
    <w:p>
      <w:pPr>
        <w:pStyle w:val="ListParagraph"/>
        <w:numPr>
          <w:ilvl w:val="0"/>
          <w:numId w:val="1"/>
        </w:numPr>
        <w:spacing w:after="100" w:line="264" w:lineRule="auto"/>
        <w:jc w:val="both"/>
      </w:pPr>
      <w:r>
        <w:rPr>
          <w:rFonts w:ascii="Calibri" w:cs="Calibri" w:eastAsia="Calibri" w:hAnsi="Calibri"/>
          <w:sz w:val="22"/>
          <w:szCs w:val="22"/>
        </w:rPr>
        <w:t xml:space="preserve">Modéliser les éléments de la couche Métier ArchiMate (acteur, rôle, processus métier, service métier, objet métier) et leurs relations (assignation, composition, réalisation, association).</w:t>
      </w:r>
    </w:p>
    <w:p>
      <w:pPr>
        <w:pStyle w:val="ListParagraph"/>
        <w:numPr>
          <w:ilvl w:val="0"/>
          <w:numId w:val="1"/>
        </w:numPr>
        <w:spacing w:after="100" w:line="264" w:lineRule="auto"/>
        <w:jc w:val="both"/>
      </w:pPr>
      <w:r>
        <w:rPr>
          <w:rFonts w:ascii="Calibri" w:cs="Calibri" w:eastAsia="Calibri" w:hAnsi="Calibri"/>
          <w:sz w:val="22"/>
          <w:szCs w:val="22"/>
        </w:rPr>
        <w:t xml:space="preserve">Générer automatiquement une vue ArchiMate à partir des éléments sélectionnés dans le référentiel, sans dessin manuel préalable.</w:t>
      </w:r>
    </w:p>
    <w:p>
      <w:pPr>
        <w:pStyle w:val="Heading3"/>
      </w:pPr>
      <w:r>
        <w:t xml:space="preserve">3. Besoins liés à l’urbanisation des systèmes d’information</w:t>
      </w:r>
    </w:p>
    <w:p>
      <w:pPr>
        <w:pStyle w:val="ListParagraph"/>
        <w:numPr>
          <w:ilvl w:val="0"/>
          <w:numId w:val="1"/>
        </w:numPr>
        <w:spacing w:after="100" w:line="264" w:lineRule="auto"/>
        <w:jc w:val="both"/>
      </w:pPr>
      <w:r>
        <w:rPr>
          <w:rFonts w:ascii="Calibri" w:cs="Calibri" w:eastAsia="Calibri" w:hAnsi="Calibri"/>
          <w:sz w:val="22"/>
          <w:szCs w:val="22"/>
        </w:rPr>
        <w:t xml:space="preserve">Structurer le patrimoine applicatif selon la hiérarchie Zone &gt; Quartier &gt; Îlot.</w:t>
      </w:r>
    </w:p>
    <w:p>
      <w:pPr>
        <w:pStyle w:val="ListParagraph"/>
        <w:numPr>
          <w:ilvl w:val="0"/>
          <w:numId w:val="1"/>
        </w:numPr>
        <w:spacing w:after="100" w:line="264" w:lineRule="auto"/>
        <w:jc w:val="both"/>
      </w:pPr>
      <w:r>
        <w:rPr>
          <w:rFonts w:ascii="Calibri" w:cs="Calibri" w:eastAsia="Calibri" w:hAnsi="Calibri"/>
          <w:sz w:val="22"/>
          <w:szCs w:val="22"/>
        </w:rPr>
        <w:t xml:space="preserve">Affecter les applications existantes aux zones et îlots correspondants, avec un niveau de criticité (Haute, Moyenne, Basse).</w:t>
      </w:r>
    </w:p>
    <w:p>
      <w:pPr>
        <w:pStyle w:val="ListParagraph"/>
        <w:numPr>
          <w:ilvl w:val="0"/>
          <w:numId w:val="1"/>
        </w:numPr>
        <w:spacing w:after="100" w:line="264" w:lineRule="auto"/>
        <w:jc w:val="both"/>
      </w:pPr>
      <w:r>
        <w:rPr>
          <w:rFonts w:ascii="Calibri" w:cs="Calibri" w:eastAsia="Calibri" w:hAnsi="Calibri"/>
          <w:sz w:val="22"/>
          <w:szCs w:val="22"/>
        </w:rPr>
        <w:t xml:space="preserve">Visualiser le Plan d’Occupation des Sols (POS) résultant de cette affectation.</w:t>
      </w:r>
    </w:p>
    <w:p>
      <w:pPr>
        <w:pStyle w:val="Heading3"/>
      </w:pPr>
      <w:r>
        <w:t xml:space="preserve">4. Besoin lié à la démonstration</w:t>
      </w:r>
    </w:p>
    <w:p>
      <w:pPr>
        <w:pStyle w:val="ListParagraph"/>
        <w:numPr>
          <w:ilvl w:val="0"/>
          <w:numId w:val="1"/>
        </w:numPr>
        <w:spacing w:after="100" w:line="264" w:lineRule="auto"/>
        <w:jc w:val="both"/>
      </w:pPr>
      <w:r>
        <w:rPr>
          <w:rFonts w:ascii="Calibri" w:cs="Calibri" w:eastAsia="Calibri" w:hAnsi="Calibri"/>
          <w:sz w:val="22"/>
          <w:szCs w:val="22"/>
        </w:rPr>
        <w:t xml:space="preserve">Peupler le référentiel avec des données représentatives de K&amp;B Group SARL (capacités métier, portefeuille applicatif) afin de démontrer la solution sur un cas concret plutôt que sur des données fictives.</w:t>
      </w:r>
    </w:p>
    <w:p>
      <w:pPr>
        <w:pStyle w:val="Heading2"/>
      </w:pPr>
      <w:r>
        <w:t xml:space="preserve">b) Besoins non fonctionnels</w:t>
      </w:r>
    </w:p>
    <w:p>
      <w:pPr>
        <w:pStyle w:val="ListParagraph"/>
        <w:numPr>
          <w:ilvl w:val="0"/>
          <w:numId w:val="1"/>
        </w:numPr>
        <w:spacing w:after="100" w:line="264" w:lineRule="auto"/>
        <w:jc w:val="both"/>
      </w:pPr>
      <w:r>
        <w:rPr>
          <w:rFonts w:ascii="Calibri" w:cs="Calibri" w:eastAsia="Calibri" w:hAnsi="Calibri"/>
          <w:b/>
          <w:bCs/>
          <w:sz w:val="22"/>
          <w:szCs w:val="22"/>
        </w:rPr>
        <w:t xml:space="preserve">Performance : </w:t>
      </w:r>
      <w:r>
        <w:rPr>
          <w:rFonts w:ascii="Calibri" w:cs="Calibri" w:eastAsia="Calibri" w:hAnsi="Calibri"/>
          <w:sz w:val="22"/>
          <w:szCs w:val="22"/>
        </w:rPr>
        <w:t xml:space="preserve">la génération d’une vue à partir du référentiel doit s’effectuer en moins de deux secondes pour un jeu de données de la taille de celui de K&amp;B Group SARL.</w:t>
      </w:r>
    </w:p>
    <w:p>
      <w:pPr>
        <w:pStyle w:val="ListParagraph"/>
        <w:numPr>
          <w:ilvl w:val="0"/>
          <w:numId w:val="1"/>
        </w:numPr>
        <w:spacing w:after="100" w:line="264" w:lineRule="auto"/>
        <w:jc w:val="both"/>
      </w:pPr>
      <w:r>
        <w:rPr>
          <w:rFonts w:ascii="Calibri" w:cs="Calibri" w:eastAsia="Calibri" w:hAnsi="Calibri"/>
          <w:b/>
          <w:bCs/>
          <w:sz w:val="22"/>
          <w:szCs w:val="22"/>
        </w:rPr>
        <w:t xml:space="preserve">Sécurité : </w:t>
      </w:r>
      <w:r>
        <w:rPr>
          <w:rFonts w:ascii="Calibri" w:cs="Calibri" w:eastAsia="Calibri" w:hAnsi="Calibri"/>
          <w:sz w:val="22"/>
          <w:szCs w:val="22"/>
        </w:rPr>
        <w:t xml:space="preserve">authentification simple de l’utilisateur par identifiant et mot de passe (protocole JWT, expliqué en section IX) ; les mécanismes avancés (connexion unique, gestion fine des rôles, chiffrement renforcé, séparation stricte entre plusieurs entreprises clientes) sont différés à la roadmap V1.1/V2.0 compte tenu du périmètre solo du stage.</w:t>
      </w:r>
    </w:p>
    <w:p>
      <w:pPr>
        <w:pStyle w:val="ListParagraph"/>
        <w:numPr>
          <w:ilvl w:val="0"/>
          <w:numId w:val="1"/>
        </w:numPr>
        <w:spacing w:after="100" w:line="264" w:lineRule="auto"/>
        <w:jc w:val="both"/>
      </w:pPr>
      <w:r>
        <w:rPr>
          <w:rFonts w:ascii="Calibri" w:cs="Calibri" w:eastAsia="Calibri" w:hAnsi="Calibri"/>
          <w:b/>
          <w:bCs/>
          <w:sz w:val="22"/>
          <w:szCs w:val="22"/>
        </w:rPr>
        <w:t xml:space="preserve">Maintenabilité : </w:t>
      </w:r>
      <w:r>
        <w:rPr>
          <w:rFonts w:ascii="Calibri" w:cs="Calibri" w:eastAsia="Calibri" w:hAnsi="Calibri"/>
          <w:sz w:val="22"/>
          <w:szCs w:val="22"/>
        </w:rPr>
        <w:t xml:space="preserve">code documenté et organisé en modules indépendants (architecture « NestJS », expliquée en section IX), séparation claire entre le référentiel, la génération de vues et la présentation, et couverture par des tests automatisés.</w:t>
      </w:r>
    </w:p>
    <w:p>
      <w:pPr>
        <w:pStyle w:val="ListParagraph"/>
        <w:numPr>
          <w:ilvl w:val="0"/>
          <w:numId w:val="1"/>
        </w:numPr>
        <w:spacing w:after="100" w:line="264" w:lineRule="auto"/>
        <w:jc w:val="both"/>
      </w:pPr>
      <w:r>
        <w:rPr>
          <w:rFonts w:ascii="Calibri" w:cs="Calibri" w:eastAsia="Calibri" w:hAnsi="Calibri"/>
          <w:b/>
          <w:bCs/>
          <w:sz w:val="22"/>
          <w:szCs w:val="22"/>
        </w:rPr>
        <w:t xml:space="preserve">Compatibilité : </w:t>
      </w:r>
      <w:r>
        <w:rPr>
          <w:rFonts w:ascii="Calibri" w:cs="Calibri" w:eastAsia="Calibri" w:hAnsi="Calibri"/>
          <w:sz w:val="22"/>
          <w:szCs w:val="22"/>
        </w:rPr>
        <w:t xml:space="preserve">fonctionnement sur les deux dernières versions majeures des navigateurs Chrome, Firefox et Edge.</w:t>
      </w:r>
    </w:p>
    <w:p>
      <w:pPr>
        <w:pStyle w:val="ListParagraph"/>
        <w:numPr>
          <w:ilvl w:val="0"/>
          <w:numId w:val="1"/>
        </w:numPr>
        <w:spacing w:after="100" w:line="264" w:lineRule="auto"/>
        <w:jc w:val="both"/>
      </w:pPr>
      <w:r>
        <w:rPr>
          <w:rFonts w:ascii="Calibri" w:cs="Calibri" w:eastAsia="Calibri" w:hAnsi="Calibri"/>
          <w:b/>
          <w:bCs/>
          <w:sz w:val="22"/>
          <w:szCs w:val="22"/>
        </w:rPr>
        <w:t xml:space="preserve">Simplicité d’usage : </w:t>
      </w:r>
      <w:r>
        <w:rPr>
          <w:rFonts w:ascii="Calibri" w:cs="Calibri" w:eastAsia="Calibri" w:hAnsi="Calibri"/>
          <w:sz w:val="22"/>
          <w:szCs w:val="22"/>
        </w:rPr>
        <w:t xml:space="preserve">l’interface de saisie du référentiel doit être utilisable sans formation préalable par un architecte ou un stagiaire découvrant l’outil.</w:t>
      </w:r>
    </w:p>
    <w:p>
      <w:pPr>
        <w:pStyle w:val="Heading1"/>
      </w:pPr>
      <w:r>
        <w:t xml:space="preserve">V. Objectifs visés</w:t>
      </w:r>
    </w:p>
    <w:p>
      <w:pPr>
        <w:pStyle w:val="ListParagraph"/>
        <w:numPr>
          <w:ilvl w:val="0"/>
          <w:numId w:val="1"/>
        </w:numPr>
        <w:spacing w:after="100" w:line="264" w:lineRule="auto"/>
        <w:jc w:val="both"/>
      </w:pPr>
      <w:r>
        <w:rPr>
          <w:rFonts w:ascii="Calibri" w:cs="Calibri" w:eastAsia="Calibri" w:hAnsi="Calibri"/>
          <w:sz w:val="22"/>
          <w:szCs w:val="22"/>
        </w:rPr>
        <w:t xml:space="preserve">Constituer un référentiel d’entreprise unique et opérationnel, couvrant a minima les objets nécessaires aux deux piliers du stage.</w:t>
      </w:r>
    </w:p>
    <w:p>
      <w:pPr>
        <w:pStyle w:val="ListParagraph"/>
        <w:numPr>
          <w:ilvl w:val="0"/>
          <w:numId w:val="1"/>
        </w:numPr>
        <w:spacing w:after="100" w:line="264" w:lineRule="auto"/>
        <w:jc w:val="both"/>
      </w:pPr>
      <w:r>
        <w:rPr>
          <w:rFonts w:ascii="Calibri" w:cs="Calibri" w:eastAsia="Calibri" w:hAnsi="Calibri"/>
          <w:sz w:val="22"/>
          <w:szCs w:val="22"/>
        </w:rPr>
        <w:t xml:space="preserve">Générer automatiquement au moins une vue ArchiMate de la couche Métier conforme aux conventions visuelles du standard The Open Group.</w:t>
      </w:r>
    </w:p>
    <w:p>
      <w:pPr>
        <w:pStyle w:val="ListParagraph"/>
        <w:numPr>
          <w:ilvl w:val="0"/>
          <w:numId w:val="1"/>
        </w:numPr>
        <w:spacing w:after="100" w:line="264" w:lineRule="auto"/>
        <w:jc w:val="both"/>
      </w:pPr>
      <w:r>
        <w:rPr>
          <w:rFonts w:ascii="Calibri" w:cs="Calibri" w:eastAsia="Calibri" w:hAnsi="Calibri"/>
          <w:sz w:val="22"/>
          <w:szCs w:val="22"/>
        </w:rPr>
        <w:t xml:space="preserve">Structurer et visualiser l’urbanisation du système d’information (zones, quartiers, îlots, Plan d’Occupation des Sols).</w:t>
      </w:r>
    </w:p>
    <w:p>
      <w:pPr>
        <w:pStyle w:val="ListParagraph"/>
        <w:numPr>
          <w:ilvl w:val="0"/>
          <w:numId w:val="1"/>
        </w:numPr>
        <w:spacing w:after="100" w:line="264" w:lineRule="auto"/>
        <w:jc w:val="both"/>
      </w:pPr>
      <w:r>
        <w:rPr>
          <w:rFonts w:ascii="Calibri" w:cs="Calibri" w:eastAsia="Calibri" w:hAnsi="Calibri"/>
          <w:sz w:val="22"/>
          <w:szCs w:val="22"/>
        </w:rPr>
        <w:t xml:space="preserve">Démontrer l’ensemble de bout en bout sur le cas réel de K&amp;B Group SARL avant l’échéance du 4 septembre 2026.</w:t>
      </w:r>
    </w:p>
    <w:p>
      <w:pPr>
        <w:pStyle w:val="ListParagraph"/>
        <w:numPr>
          <w:ilvl w:val="0"/>
          <w:numId w:val="1"/>
        </w:numPr>
        <w:spacing w:after="100" w:line="264" w:lineRule="auto"/>
        <w:jc w:val="both"/>
      </w:pPr>
      <w:r>
        <w:rPr>
          <w:rFonts w:ascii="Calibri" w:cs="Calibri" w:eastAsia="Calibri" w:hAnsi="Calibri"/>
          <w:sz w:val="22"/>
          <w:szCs w:val="22"/>
        </w:rPr>
        <w:t xml:space="preserve">Documenter, dans le rapport de stage et le Product Backlog associé, la vision élargie de la plateforme (Enterprise Architecture Management Platform) comme feuille de route produit au-delà du périmètre codé.</w:t>
      </w:r>
    </w:p>
    <w:p>
      <w:pPr>
        <w:pStyle w:val="Heading1"/>
      </w:pPr>
      <w:r>
        <w:t xml:space="preserve">VI. Solution proposée</w:t>
      </w:r>
    </w:p>
    <w:p>
      <w:pPr>
        <w:pStyle w:val="Heading2"/>
      </w:pPr>
      <w:r>
        <w:t xml:space="preserve">a) Description</w:t>
      </w:r>
    </w:p>
    <w:p>
      <w:pPr>
        <w:spacing w:after="160" w:before="0" w:line="264" w:lineRule="auto"/>
        <w:jc w:val="both"/>
      </w:pPr>
      <w:r>
        <w:rPr>
          <w:rFonts w:ascii="Calibri" w:cs="Calibri" w:eastAsia="Calibri" w:hAnsi="Calibri"/>
          <w:sz w:val="22"/>
          <w:szCs w:val="22"/>
        </w:rPr>
        <w:t xml:space="preserve">La solution retenue est une application web organisée en deux couches communicantes : une interface visible dans le navigateur (le « frontend ») et un service applicatif qui traite les données et les règles métier (le « backend »), qui s’appuie lui-même sur une base de données pour conserver l’information de façon durable.</w:t>
      </w:r>
    </w:p>
    <w:tbl>
      <w:tblPr>
        <w:tblW w:type="dxa" w:w="9356"/>
        <w:tblBorders>
          <w:top w:val="single" w:color="2E74B5" w:sz="4"/>
          <w:left w:val="single" w:color="2E74B5" w:sz="4"/>
          <w:bottom w:val="single" w:color="2E74B5" w:sz="4"/>
          <w:right w:val="single" w:color="2E74B5" w:sz="4"/>
          <w:insideH w:val="single" w:color="auto" w:sz="4"/>
          <w:insideV w:val="single" w:color="auto" w:sz="4"/>
        </w:tblBorders>
      </w:tblPr>
      <w:tblGrid>
        <w:gridCol w:w="100"/>
      </w:tblGrid>
      <w:tr>
        <w:tc>
          <w:tcPr>
            <w:tcW w:type="dxa" w:w="9356"/>
            <w:shd w:fill="EAF1FA" w:val="clear"/>
            <w:tcMar>
              <w:top w:type="dxa" w:w="120"/>
              <w:left w:type="dxa" w:w="160"/>
              <w:bottom w:type="dxa" w:w="120"/>
              <w:right w:type="dxa" w:w="160"/>
            </w:tcMar>
          </w:tcPr>
          <w:p>
            <w:pPr>
              <w:spacing w:after="80"/>
            </w:pPr>
            <w:r>
              <w:rPr>
                <w:rFonts w:ascii="Calibri" w:cs="Calibri" w:eastAsia="Calibri" w:hAnsi="Calibri"/>
                <w:b/>
                <w:bCs/>
                <w:color w:val="1F4E78"/>
                <w:sz w:val="22"/>
                <w:szCs w:val="22"/>
              </w:rPr>
              <w:t xml:space="preserve">En clair — les trois couches de la solution</w:t>
            </w:r>
          </w:p>
          <w:p>
            <w:pPr>
              <w:spacing w:line="264" w:lineRule="auto"/>
            </w:pPr>
            <w:r>
              <w:rPr>
                <w:rFonts w:ascii="Calibri" w:cs="Calibri" w:eastAsia="Calibri" w:hAnsi="Calibri"/>
                <w:i/>
                <w:iCs/>
                <w:sz w:val="22"/>
                <w:szCs w:val="22"/>
              </w:rPr>
              <w:t xml:space="preserve">1) Le frontend est ce que l’utilisateur voit et manipule à l’écran (formulaires, boutons, tableaux) : il est construit avec Angular, un outil largement utilisé pour créer des interfaces web modernes et réactives. 2) Le backend est le programme, invisible pour l’utilisateur, qui reçoit les demandes du frontend, applique les règles métier et lit ou écrit les données : il est construit avec NestJS, un outil qui structure le code en modules indépendants et faciles à maintenir. 3) La base de données est l’endroit où les informations sont réellement stockées de façon permanente (un peu comme une armoire de classement numérique très organisée) : PostgreSQL a été retenu pour sa fiabilité et sa gratuité, avec Prisma comme intermédiaire qui traduit les demandes du backend en instructions compréhensibles par la base de données.</w:t>
            </w:r>
          </w:p>
        </w:tc>
      </w:tr>
    </w:tbl>
    <w:p>
      <w:pPr>
        <w:spacing w:after="160" w:before="0" w:line="264" w:lineRule="auto"/>
        <w:jc w:val="both"/>
      </w:pPr>
      <w:r>
        <w:rPr>
          <w:rFonts w:ascii="Calibri" w:cs="Calibri" w:eastAsia="Calibri" w:hAnsi="Calibri"/>
          <w:sz w:val="22"/>
          <w:szCs w:val="22"/>
        </w:rPr>
        <w:t xml:space="preserve">Le choix délibéré de ne pas construire, en version 1, un éditeur graphique interactif (glisser-déposer façon logiciel de dessin) permet de concentrer le temps disponible sur la valeur centrale du projet — la génération automatique de vues à partir du référentiel — plutôt que sur l’outillage de dessin, qui est historiquement le poste de développement le plus coûteux dans ce type de projet. Le frontend Angular se présente donc, en version 1, sous la forme de formulaires de saisie structurée permettant d’alimenter le référentiel.</w:t>
      </w:r>
    </w:p>
    <w:p>
      <w:pPr>
        <w:spacing w:after="160" w:before="0" w:line="264" w:lineRule="auto"/>
        <w:jc w:val="both"/>
      </w:pPr>
      <w:r>
        <w:rPr>
          <w:rFonts w:ascii="Calibri" w:cs="Calibri" w:eastAsia="Calibri" w:hAnsi="Calibri"/>
          <w:sz w:val="22"/>
          <w:szCs w:val="22"/>
        </w:rPr>
        <w:t xml:space="preserve">La couche backend est développée en Node.js avec le framework NestJS (version 11), organisée en modules découplés autour du référentiel central : authentification, organisations, architecture métier ArchiMate, urbanisation. La persistance est assurée par PostgreSQL (version 15) via l’ORM Prisma. Les vues ArchiMate et le Plan d’Occupation des Sols sont rendus au format SVG (un format d’image vectorielle, net à toute taille d’affichage, directement lisible par un navigateur web) généré à partir des données du référentiel, et non dessinés manuellement. Les briques backend et base de données sont conteneurisées via Docker (technologie expliquée en section IX), ce qui garantit un environnement d’exécution identique du poste de développement au serveur de démonstration.</w:t>
      </w:r>
    </w:p>
    <w:p>
      <w:pPr>
        <w:pStyle w:val="Heading2"/>
      </w:pPr>
      <w:r>
        <w:t xml:space="preserve">b) Résultats attendus</w:t>
      </w:r>
    </w:p>
    <w:p>
      <w:pPr>
        <w:pStyle w:val="ListParagraph"/>
        <w:numPr>
          <w:ilvl w:val="0"/>
          <w:numId w:val="1"/>
        </w:numPr>
        <w:spacing w:after="100" w:line="264" w:lineRule="auto"/>
        <w:jc w:val="both"/>
      </w:pPr>
      <w:r>
        <w:rPr>
          <w:rFonts w:ascii="Calibri" w:cs="Calibri" w:eastAsia="Calibri" w:hAnsi="Calibri"/>
          <w:sz w:val="22"/>
          <w:szCs w:val="22"/>
        </w:rPr>
        <w:t xml:space="preserve">Une API de référentiel opérationnelle exposant les objets Organisation, Capacité métier, Élément ArchiMate, Application et Zone d’urbanisation.</w:t>
      </w:r>
    </w:p>
    <w:p>
      <w:pPr>
        <w:pStyle w:val="ListParagraph"/>
        <w:numPr>
          <w:ilvl w:val="0"/>
          <w:numId w:val="1"/>
        </w:numPr>
        <w:spacing w:after="100" w:line="264" w:lineRule="auto"/>
        <w:jc w:val="both"/>
      </w:pPr>
      <w:r>
        <w:rPr>
          <w:rFonts w:ascii="Calibri" w:cs="Calibri" w:eastAsia="Calibri" w:hAnsi="Calibri"/>
          <w:sz w:val="22"/>
          <w:szCs w:val="22"/>
        </w:rPr>
        <w:t xml:space="preserve">Une interface de saisie structurée permettant de peupler ce référentiel sans recourir à un éditeur graphique.</w:t>
      </w:r>
    </w:p>
    <w:p>
      <w:pPr>
        <w:pStyle w:val="ListParagraph"/>
        <w:numPr>
          <w:ilvl w:val="0"/>
          <w:numId w:val="1"/>
        </w:numPr>
        <w:spacing w:after="100" w:line="264" w:lineRule="auto"/>
        <w:jc w:val="both"/>
      </w:pPr>
      <w:r>
        <w:rPr>
          <w:rFonts w:ascii="Calibri" w:cs="Calibri" w:eastAsia="Calibri" w:hAnsi="Calibri"/>
          <w:sz w:val="22"/>
          <w:szCs w:val="22"/>
        </w:rPr>
        <w:t xml:space="preserve">Un moteur de génération de vues produisant une représentation ArchiMate lisible et un Plan d’Occupation des Sols à partir des éléments saisis.</w:t>
      </w:r>
    </w:p>
    <w:p>
      <w:pPr>
        <w:pStyle w:val="ListParagraph"/>
        <w:numPr>
          <w:ilvl w:val="0"/>
          <w:numId w:val="1"/>
        </w:numPr>
        <w:spacing w:after="100" w:line="264" w:lineRule="auto"/>
        <w:jc w:val="both"/>
      </w:pPr>
      <w:r>
        <w:rPr>
          <w:rFonts w:ascii="Calibri" w:cs="Calibri" w:eastAsia="Calibri" w:hAnsi="Calibri"/>
          <w:sz w:val="22"/>
          <w:szCs w:val="22"/>
        </w:rPr>
        <w:t xml:space="preserve">Une démonstration complète et fonctionnelle sur les données de K&amp;B Group SARL.</w:t>
      </w:r>
    </w:p>
    <w:p>
      <w:pPr>
        <w:pStyle w:val="Heading2"/>
      </w:pPr>
      <w:r>
        <w:t xml:space="preserve">c) Biens livrables</w:t>
      </w:r>
    </w:p>
    <w:p>
      <w:pPr>
        <w:pStyle w:val="ListParagraph"/>
        <w:numPr>
          <w:ilvl w:val="0"/>
          <w:numId w:val="1"/>
        </w:numPr>
        <w:spacing w:after="100" w:line="264" w:lineRule="auto"/>
        <w:jc w:val="both"/>
      </w:pPr>
      <w:r>
        <w:rPr>
          <w:rFonts w:ascii="Calibri" w:cs="Calibri" w:eastAsia="Calibri" w:hAnsi="Calibri"/>
          <w:sz w:val="22"/>
          <w:szCs w:val="22"/>
        </w:rPr>
        <w:t xml:space="preserve">Cahier des charges technique (présent document).</w:t>
      </w:r>
    </w:p>
    <w:p>
      <w:pPr>
        <w:pStyle w:val="ListParagraph"/>
        <w:numPr>
          <w:ilvl w:val="0"/>
          <w:numId w:val="1"/>
        </w:numPr>
        <w:spacing w:after="100" w:line="264" w:lineRule="auto"/>
        <w:jc w:val="both"/>
      </w:pPr>
      <w:r>
        <w:rPr>
          <w:rFonts w:ascii="Calibri" w:cs="Calibri" w:eastAsia="Calibri" w:hAnsi="Calibri"/>
          <w:sz w:val="22"/>
          <w:szCs w:val="22"/>
        </w:rPr>
        <w:t xml:space="preserve">Product Backlog priorisé selon la méthode MoSCoW, organisé par Epic et par semaine calendaire.</w:t>
      </w:r>
    </w:p>
    <w:p>
      <w:pPr>
        <w:pStyle w:val="ListParagraph"/>
        <w:numPr>
          <w:ilvl w:val="0"/>
          <w:numId w:val="1"/>
        </w:numPr>
        <w:spacing w:after="100" w:line="264" w:lineRule="auto"/>
        <w:jc w:val="both"/>
      </w:pPr>
      <w:r>
        <w:rPr>
          <w:rFonts w:ascii="Calibri" w:cs="Calibri" w:eastAsia="Calibri" w:hAnsi="Calibri"/>
          <w:sz w:val="22"/>
          <w:szCs w:val="22"/>
        </w:rPr>
        <w:t xml:space="preserve">Code source versionné (dépôt Git), accompagné d’une documentation technique (fichiers README et ROADMAP du projet).</w:t>
      </w:r>
    </w:p>
    <w:p>
      <w:pPr>
        <w:pStyle w:val="ListParagraph"/>
        <w:numPr>
          <w:ilvl w:val="0"/>
          <w:numId w:val="1"/>
        </w:numPr>
        <w:spacing w:after="100" w:line="264" w:lineRule="auto"/>
        <w:jc w:val="both"/>
      </w:pPr>
      <w:r>
        <w:rPr>
          <w:rFonts w:ascii="Calibri" w:cs="Calibri" w:eastAsia="Calibri" w:hAnsi="Calibri"/>
          <w:sz w:val="22"/>
          <w:szCs w:val="22"/>
        </w:rPr>
        <w:t xml:space="preserve">Application démontrable localement, incluant un jeu de données représentatif de K&amp;B Group SARL.</w:t>
      </w:r>
    </w:p>
    <w:p>
      <w:pPr>
        <w:pStyle w:val="ListParagraph"/>
        <w:numPr>
          <w:ilvl w:val="0"/>
          <w:numId w:val="1"/>
        </w:numPr>
        <w:spacing w:after="100" w:line="264" w:lineRule="auto"/>
        <w:jc w:val="both"/>
      </w:pPr>
      <w:r>
        <w:rPr>
          <w:rFonts w:ascii="Calibri" w:cs="Calibri" w:eastAsia="Calibri" w:hAnsi="Calibri"/>
          <w:sz w:val="22"/>
          <w:szCs w:val="22"/>
        </w:rPr>
        <w:t xml:space="preserve">Suite de tests automatisés couvrant les modules du référentiel central (authentification, organisations, architecture métier, urbanisation).</w:t>
      </w:r>
    </w:p>
    <w:p>
      <w:pPr>
        <w:pStyle w:val="ListParagraph"/>
        <w:numPr>
          <w:ilvl w:val="0"/>
          <w:numId w:val="1"/>
        </w:numPr>
        <w:spacing w:after="100" w:line="264" w:lineRule="auto"/>
        <w:jc w:val="both"/>
      </w:pPr>
      <w:r>
        <w:rPr>
          <w:rFonts w:ascii="Calibri" w:cs="Calibri" w:eastAsia="Calibri" w:hAnsi="Calibri"/>
          <w:sz w:val="22"/>
          <w:szCs w:val="22"/>
        </w:rPr>
        <w:t xml:space="preserve">Rapport de stage documentant la démarche, les résultats et la feuille de route produit restante.</w:t>
      </w:r>
    </w:p>
    <w:p>
      <w:pPr>
        <w:pStyle w:val="Heading1"/>
      </w:pPr>
      <w:r>
        <w:t xml:space="preserve">VII. Démarche d’intervention</w:t>
      </w:r>
    </w:p>
    <w:p>
      <w:pPr>
        <w:pStyle w:val="Heading2"/>
      </w:pPr>
      <w:r>
        <w:t xml:space="preserve">a) Architecture</w:t>
      </w:r>
    </w:p>
    <w:p>
      <w:pPr>
        <w:spacing w:after="160" w:before="0" w:line="264" w:lineRule="auto"/>
        <w:jc w:val="both"/>
      </w:pPr>
      <w:r>
        <w:rPr>
          <w:rFonts w:ascii="Calibri" w:cs="Calibri" w:eastAsia="Calibri" w:hAnsi="Calibri"/>
          <w:sz w:val="22"/>
          <w:szCs w:val="22"/>
        </w:rPr>
        <w:t xml:space="preserve">L’application repose sur une architecture à deux niveaux découplés : une application web (frontend Angular) qui communique avec un service applicatif (API backend NestJS), lui-même connecté à une base de données PostgreSQL. Les communications entre le frontend et le backend transitent au format JSON (un format de données texte standard, facilement lisible et échangé entre applications web) au-dessus du protocole HTTP, sécurisé en HTTPS en environnement de production. L’API backend et la base de données sont conteneurisées via Docker, permettant un déploiement reproductible ; un mécanisme de gestion des sessions par cache mémoire (par exemple Redis) ainsi qu’un déploiement orchestré (par exemple Kubernetes) figurent dans la vision produit long terme mais ne font pas partie du périmètre v1 du stage.</w:t>
      </w:r>
    </w:p>
    <w:p>
      <w:pPr>
        <w:pStyle w:val="Heading2"/>
      </w:pPr>
      <w:r>
        <w:t xml:space="preserve">b) Méthode</w:t>
      </w:r>
    </w:p>
    <w:p>
      <w:pPr>
        <w:spacing w:after="160" w:before="0" w:line="264" w:lineRule="auto"/>
        <w:jc w:val="both"/>
      </w:pPr>
      <w:r>
        <w:rPr>
          <w:rFonts w:ascii="Calibri" w:cs="Calibri" w:eastAsia="Calibri" w:hAnsi="Calibri"/>
          <w:sz w:val="22"/>
          <w:szCs w:val="22"/>
        </w:rPr>
        <w:t xml:space="preserve">Le travail est organisé à partir d’un Product Backlog unique, priorisé selon la méthode MoSCoW (Must have : indispensable ; Should have : important mais non bloquant ; Could have : réalisé seulement si le temps le permet), qui remplace l’organisation classique en sprints d’équipe compte tenu du caractère individuel du stage. Chaque semaine calendaire fait l’objet d’une revue personnelle permettant d’ajuster la priorisation restante.</w:t>
      </w:r>
    </w:p>
    <w:p>
      <w:pPr>
        <w:spacing w:after="160" w:before="0" w:line="264" w:lineRule="auto"/>
        <w:jc w:val="both"/>
      </w:pPr>
      <w:r>
        <w:rPr>
          <w:rFonts w:ascii="Calibri" w:cs="Calibri" w:eastAsia="Calibri" w:hAnsi="Calibri"/>
          <w:sz w:val="22"/>
          <w:szCs w:val="22"/>
        </w:rPr>
        <w:t xml:space="preserve">Le développement s’appuie sur deux assistants d’intelligence artificielle utilisés à des fins distinctes : Claude (Anthropic), pour la conception architecturale, la structuration des livrables et la revue de cohérence ; et Kiro, pour la génération de code, dont les dépendances proposées font systématiquement l’objet d’une vérification manuelle avant intégration.</w:t>
      </w:r>
    </w:p>
    <w:p>
      <w:pPr>
        <w:pStyle w:val="Heading2"/>
      </w:pPr>
      <w:r>
        <w:t xml:space="preserve">c) Planification</w:t>
      </w:r>
    </w:p>
    <w:p>
      <w:pPr>
        <w:spacing w:after="160" w:before="0" w:line="264" w:lineRule="auto"/>
        <w:jc w:val="both"/>
      </w:pPr>
      <w:r>
        <w:rPr>
          <w:rFonts w:ascii="Calibri" w:cs="Calibri" w:eastAsia="Calibri" w:hAnsi="Calibri"/>
          <w:sz w:val="22"/>
          <w:szCs w:val="22"/>
        </w:rPr>
        <w:t xml:space="preserve">Le projet est planifié sur six semaines calendaires, du 23 juillet au 4 septembre 2026. Conformément au resserrement de périmètre annoncé en section II (les deux piliers du stage plutôt que les douze domaines de la vision complète), la planification a été réajustée comme suit :</w:t>
      </w:r>
    </w:p>
    <w:p>
      <w:pPr>
        <w:pStyle w:val="ListParagraph"/>
        <w:numPr>
          <w:ilvl w:val="0"/>
          <w:numId w:val="1"/>
        </w:numPr>
        <w:spacing w:after="100" w:line="264" w:lineRule="auto"/>
        <w:jc w:val="both"/>
      </w:pPr>
      <w:r>
        <w:rPr>
          <w:rFonts w:ascii="Calibri" w:cs="Calibri" w:eastAsia="Calibri" w:hAnsi="Calibri"/>
          <w:sz w:val="22"/>
          <w:szCs w:val="22"/>
        </w:rPr>
        <w:t xml:space="preserve">Semaine 1 (23-29 juillet) : socle technique du projet, authentification sécurisée, mise en place du référentiel central (module Organisations).</w:t>
      </w:r>
    </w:p>
    <w:p>
      <w:pPr>
        <w:pStyle w:val="ListParagraph"/>
        <w:numPr>
          <w:ilvl w:val="0"/>
          <w:numId w:val="1"/>
        </w:numPr>
        <w:spacing w:after="100" w:line="264" w:lineRule="auto"/>
        <w:jc w:val="both"/>
      </w:pPr>
      <w:r>
        <w:rPr>
          <w:rFonts w:ascii="Calibri" w:cs="Calibri" w:eastAsia="Calibri" w:hAnsi="Calibri"/>
          <w:sz w:val="22"/>
          <w:szCs w:val="22"/>
        </w:rPr>
        <w:t xml:space="preserve">Semaine 2 (30 juillet-5 août) : modélisation de la couche Métier ArchiMate — éléments et relations, avec leurs règles de validation.</w:t>
      </w:r>
    </w:p>
    <w:p>
      <w:pPr>
        <w:pStyle w:val="ListParagraph"/>
        <w:numPr>
          <w:ilvl w:val="0"/>
          <w:numId w:val="1"/>
        </w:numPr>
        <w:spacing w:after="100" w:line="264" w:lineRule="auto"/>
        <w:jc w:val="both"/>
      </w:pPr>
      <w:r>
        <w:rPr>
          <w:rFonts w:ascii="Calibri" w:cs="Calibri" w:eastAsia="Calibri" w:hAnsi="Calibri"/>
          <w:sz w:val="22"/>
          <w:szCs w:val="22"/>
        </w:rPr>
        <w:t xml:space="preserve">Semaine 3 (6-12 août) : urbanisation du système d’information — hiérarchie Zone / Quartier / Îlot, portefeuille applicatif et affectation des applications.</w:t>
      </w:r>
    </w:p>
    <w:p>
      <w:pPr>
        <w:pStyle w:val="ListParagraph"/>
        <w:numPr>
          <w:ilvl w:val="0"/>
          <w:numId w:val="1"/>
        </w:numPr>
        <w:spacing w:after="100" w:line="264" w:lineRule="auto"/>
        <w:jc w:val="both"/>
      </w:pPr>
      <w:r>
        <w:rPr>
          <w:rFonts w:ascii="Calibri" w:cs="Calibri" w:eastAsia="Calibri" w:hAnsi="Calibri"/>
          <w:sz w:val="22"/>
          <w:szCs w:val="22"/>
        </w:rPr>
        <w:t xml:space="preserve">Semaine 4 (13-19 août) : génération automatique des vues graphiques (vue ArchiMate de la couche Métier, Plan d’Occupation des Sols).</w:t>
      </w:r>
    </w:p>
    <w:p>
      <w:pPr>
        <w:pStyle w:val="ListParagraph"/>
        <w:numPr>
          <w:ilvl w:val="0"/>
          <w:numId w:val="1"/>
        </w:numPr>
        <w:spacing w:after="100" w:line="264" w:lineRule="auto"/>
        <w:jc w:val="both"/>
      </w:pPr>
      <w:r>
        <w:rPr>
          <w:rFonts w:ascii="Calibri" w:cs="Calibri" w:eastAsia="Calibri" w:hAnsi="Calibri"/>
          <w:sz w:val="22"/>
          <w:szCs w:val="22"/>
        </w:rPr>
        <w:t xml:space="preserve">Semaine 5 (20-26 août) : fiabilisation — couverture de tests automatisés, gestion cohérente des erreurs, retrait des éléments non finalisés (notamment un mécanisme multi-entreprises engagé puis non achevé, retiré pour fiabiliser le périmètre livré), documentation technique.</w:t>
      </w:r>
    </w:p>
    <w:p>
      <w:pPr>
        <w:pStyle w:val="ListParagraph"/>
        <w:numPr>
          <w:ilvl w:val="0"/>
          <w:numId w:val="1"/>
        </w:numPr>
        <w:spacing w:after="100" w:line="264" w:lineRule="auto"/>
        <w:jc w:val="both"/>
      </w:pPr>
      <w:r>
        <w:rPr>
          <w:rFonts w:ascii="Calibri" w:cs="Calibri" w:eastAsia="Calibri" w:hAnsi="Calibri"/>
          <w:sz w:val="22"/>
          <w:szCs w:val="22"/>
        </w:rPr>
        <w:t xml:space="preserve">Semaine 6 (27 août-4 septembre) : peuplement du référentiel avec les données de K&amp;B Group SARL, démonstration de bout en bout, qualification finale et rédaction du rapport de stage.</w:t>
      </w:r>
    </w:p>
    <w:p>
      <w:pPr>
        <w:pStyle w:val="Heading1"/>
      </w:pPr>
      <w:r>
        <w:t xml:space="preserve">VIII. Présentation de l’intervenant</w:t>
      </w:r>
    </w:p>
    <w:p>
      <w:pPr>
        <w:spacing w:after="160" w:before="0" w:line="264" w:lineRule="auto"/>
        <w:jc w:val="both"/>
      </w:pPr>
      <w:r>
        <w:rPr>
          <w:rFonts w:ascii="Calibri" w:cs="Calibri" w:eastAsia="Calibri" w:hAnsi="Calibri"/>
          <w:sz w:val="22"/>
          <w:szCs w:val="22"/>
        </w:rPr>
        <w:t xml:space="preserve">Le projet est conduit par un stagiaire unique, qui assume l’ensemble des rôles habituellement répartis dans une équipe pluridisciplinaire : cadrage produit et priorisation du backlog, développement frontend et backend, tests, documentation et démonstration. Ce positionnement solo justifie la simplification volontaire du périmètre technique (absence d’éditeur graphique interactif, de collaboration en temps réel et de gestion fine des droits d’accès en version 1) au profit d’un socle fonctionnel restreint mais réellement livré.</w:t>
      </w:r>
    </w:p>
    <w:p>
      <w:pPr>
        <w:spacing w:after="160" w:before="0" w:line="264" w:lineRule="auto"/>
        <w:jc w:val="both"/>
      </w:pPr>
      <w:r>
        <w:rPr>
          <w:rFonts w:ascii="Calibri" w:cs="Calibri" w:eastAsia="Calibri" w:hAnsi="Calibri"/>
          <w:sz w:val="22"/>
          <w:szCs w:val="22"/>
        </w:rPr>
        <w:t xml:space="preserve">L’intervenant est accompagné, tout au long du stage, par un encadrant académique au sein de l’Institut Saint Jean et par un encadrant professionnel au sein de K&amp;B Group SARL, structure d’accueil du stage.</w:t>
      </w:r>
    </w:p>
    <w:p>
      <w:pPr>
        <w:pStyle w:val="Heading1"/>
      </w:pPr>
      <w:r>
        <w:t xml:space="preserve">IX. Ressources utilisées</w:t>
      </w:r>
    </w:p>
    <w:p>
      <w:pPr>
        <w:pStyle w:val="Heading2"/>
      </w:pPr>
      <w:r>
        <w:t xml:space="preserve">a) Ressources matérielles</w:t>
      </w:r>
    </w:p>
    <w:p>
      <w:pPr>
        <w:pStyle w:val="ListParagraph"/>
        <w:numPr>
          <w:ilvl w:val="0"/>
          <w:numId w:val="1"/>
        </w:numPr>
        <w:spacing w:after="100" w:line="264" w:lineRule="auto"/>
        <w:jc w:val="both"/>
      </w:pPr>
      <w:r>
        <w:rPr>
          <w:rFonts w:ascii="Calibri" w:cs="Calibri" w:eastAsia="Calibri" w:hAnsi="Calibri"/>
          <w:sz w:val="22"/>
          <w:szCs w:val="22"/>
        </w:rPr>
        <w:t xml:space="preserve">Poste de développement personnel (processeur multi-cœurs, 16 Go de RAM minimum, disque SSD), système d’exploitation Linux, macOS ou Windows.</w:t>
      </w:r>
    </w:p>
    <w:p>
      <w:pPr>
        <w:pStyle w:val="ListParagraph"/>
        <w:numPr>
          <w:ilvl w:val="0"/>
          <w:numId w:val="1"/>
        </w:numPr>
        <w:spacing w:after="100" w:line="264" w:lineRule="auto"/>
        <w:jc w:val="both"/>
      </w:pPr>
      <w:r>
        <w:rPr>
          <w:rFonts w:ascii="Calibri" w:cs="Calibri" w:eastAsia="Calibri" w:hAnsi="Calibri"/>
          <w:sz w:val="22"/>
          <w:szCs w:val="22"/>
        </w:rPr>
        <w:t xml:space="preserve">Connexion Internet stable pour l’accès aux dépôts de code, à la documentation en ligne et aux assistants d’intelligence artificielle.</w:t>
      </w:r>
    </w:p>
    <w:p>
      <w:pPr>
        <w:pStyle w:val="Heading2"/>
      </w:pPr>
      <w:r>
        <w:t xml:space="preserve">b) Ressources logicielles</w:t>
      </w:r>
    </w:p>
    <w:p>
      <w:pPr>
        <w:spacing w:after="160" w:before="0" w:line="264" w:lineRule="auto"/>
        <w:jc w:val="both"/>
      </w:pPr>
      <w:r>
        <w:rPr>
          <w:rFonts w:ascii="Calibri" w:cs="Calibri" w:eastAsia="Calibri" w:hAnsi="Calibri"/>
          <w:sz w:val="22"/>
          <w:szCs w:val="22"/>
        </w:rPr>
        <w:t xml:space="preserve">Le tableau suivant présente les technologies retenues, avec pour chacune une explication en langage courant destinée à un lecteur non-informaticien.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56"/>
      </w:tblGrid>
      <w:tr>
        <w:trPr>
          <w:tblHeader/>
        </w:trPr>
        <w:tc>
          <w:tcPr>
            <w:tcW w:type="dxa" w:w="24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Technologie</w:t>
            </w:r>
          </w:p>
        </w:tc>
        <w:tc>
          <w:tcPr>
            <w:tcW w:type="dxa" w:w="2600"/>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Rôle technique</w:t>
            </w:r>
          </w:p>
        </w:tc>
        <w:tc>
          <w:tcPr>
            <w:tcW w:type="dxa" w:w="4356"/>
            <w:shd w:fill="1F4E78" w:val="clear"/>
            <w:tcMar>
              <w:top w:type="dxa" w:w="60"/>
              <w:left w:type="dxa" w:w="100"/>
              <w:bottom w:type="dxa" w:w="60"/>
              <w:right w:type="dxa" w:w="100"/>
            </w:tcMar>
            <w:vAlign w:val="center"/>
          </w:tcPr>
          <w:p>
            <w:pPr>
              <w:spacing w:line="250" w:lineRule="auto"/>
              <w:jc w:val="center"/>
            </w:pPr>
            <w:r>
              <w:rPr>
                <w:rFonts w:ascii="Calibri" w:cs="Calibri" w:eastAsia="Calibri" w:hAnsi="Calibri"/>
                <w:b/>
                <w:bCs/>
                <w:sz w:val="22"/>
                <w:szCs w:val="22"/>
              </w:rPr>
              <w:t xml:space="preserve">En langage courant</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Angular 17 (licence MIT)</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Framework frontend</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Outil qui sert à construire l’interface visible et cliquable dans le navigateur (formulaires, tableaux, pages).</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NestJS 11 (licence MIT)</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Framework backend</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Outil qui structure, en modules organisés, le programme qui applique les règles métier côté serveur.</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TypeScript</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Langage de programmation</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Version enrichie du langage JavaScript qui détecte davantage d’erreurs avant l’exécution du programme, ce qui limite les bugs.</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Prisma (licence Apache 2.0)</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ORM (traducteur base de données)</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Intermédiaire qui traduit les demandes du programme en instructions compréhensibles par la base de données, sans avoir à écrire de requêtes complexes à la main.</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PostgreSQL 15</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Base de données</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Système qui stocke durablement toutes les informations de l’application (organisations, éléments, applications), comme une armoire de classement numérique fiable.</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JWT (JSON Web Token)</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Mécanisme d’authentification</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Sorte de badge numérique temporaire prouvant qu’un utilisateur s’est bien connecté, sans avoir à ressaisir son mot de passe à chaque action.</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SVG (Scalable Vector Graphics)</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Format d’image généré</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Format d’image « intelligente » qui reste nette quel que soit le niveau de zoom, utilisé ici pour afficher les vues ArchiMate et le plan d’urbanisation.</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Docker / Docker Compose (licence Apache 2.0)</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Conteneurisation</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Outil qui « emballe » l’application et ses dépendances dans un environnement standardisé, afin qu’elle fonctionne à l’identique sur n’importe quel ordinateur ou serveur.</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Git / GitHub</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Gestion de version</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Système qui conserve l’historique complet des modifications du code, avec possibilité de revenir en arrière à tout moment.</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Claude (Anthropic)</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Assistant IA</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Utilisé pour la conception, la structuration des documents et la relecture de cohérence du projet.</w:t>
            </w:r>
          </w:p>
        </w:tc>
      </w:tr>
      <w:tr>
        <w:tc>
          <w:tcPr>
            <w:tcW w:type="dxa" w:w="24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Kiro</w:t>
            </w:r>
          </w:p>
        </w:tc>
        <w:tc>
          <w:tcPr>
            <w:tcW w:type="dxa" w:w="2600"/>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Assistant IA</w:t>
            </w:r>
          </w:p>
        </w:tc>
        <w:tc>
          <w:tcPr>
            <w:tcW w:type="dxa" w:w="4356"/>
            <w:tcMar>
              <w:top w:type="dxa" w:w="60"/>
              <w:left w:type="dxa" w:w="100"/>
              <w:bottom w:type="dxa" w:w="60"/>
              <w:right w:type="dxa" w:w="100"/>
            </w:tcMar>
            <w:vAlign w:val="center"/>
          </w:tcPr>
          <w:p>
            <w:pPr>
              <w:spacing w:line="250" w:lineRule="auto"/>
              <w:jc w:val="left"/>
            </w:pPr>
            <w:r>
              <w:rPr>
                <w:rFonts w:ascii="Calibri" w:cs="Calibri" w:eastAsia="Calibri" w:hAnsi="Calibri"/>
                <w:b w:val="false"/>
                <w:bCs w:val="false"/>
                <w:sz w:val="22"/>
                <w:szCs w:val="22"/>
              </w:rPr>
              <w:t xml:space="preserve">Utilisé pour la génération de code, chaque suggestion étant systématiquement vérifiée manuellement avant intégration.</w:t>
            </w:r>
          </w:p>
        </w:tc>
      </w:tr>
    </w:tbl>
    <w:p>
      <w:pPr>
        <w:spacing w:after="220" w:before="100" w:line="264" w:lineRule="auto"/>
        <w:jc w:val="center"/>
      </w:pPr>
      <w:r>
        <w:rPr>
          <w:rFonts w:ascii="Calibri" w:cs="Calibri" w:eastAsia="Calibri" w:hAnsi="Calibri"/>
          <w:b/>
          <w:bCs/>
          <w:sz w:val="20"/>
          <w:szCs w:val="20"/>
        </w:rPr>
        <w:t xml:space="preserve">Tableau 1 : Ressources logicielles utilisées, avec explication en langage courant</w:t>
      </w:r>
    </w:p>
    <w:tbl>
      <w:tblPr>
        <w:tblW w:type="dxa" w:w="9356"/>
        <w:tblBorders>
          <w:top w:val="single" w:color="2E74B5" w:sz="4"/>
          <w:left w:val="single" w:color="2E74B5" w:sz="4"/>
          <w:bottom w:val="single" w:color="2E74B5" w:sz="4"/>
          <w:right w:val="single" w:color="2E74B5" w:sz="4"/>
          <w:insideH w:val="single" w:color="auto" w:sz="4"/>
          <w:insideV w:val="single" w:color="auto" w:sz="4"/>
        </w:tblBorders>
      </w:tblPr>
      <w:tblGrid>
        <w:gridCol w:w="100"/>
      </w:tblGrid>
      <w:tr>
        <w:tc>
          <w:tcPr>
            <w:tcW w:type="dxa" w:w="9356"/>
            <w:shd w:fill="EAF1FA" w:val="clear"/>
            <w:tcMar>
              <w:top w:type="dxa" w:w="120"/>
              <w:left w:type="dxa" w:w="160"/>
              <w:bottom w:type="dxa" w:w="120"/>
              <w:right w:type="dxa" w:w="160"/>
            </w:tcMar>
          </w:tcPr>
          <w:p>
            <w:pPr>
              <w:spacing w:after="80"/>
            </w:pPr>
            <w:r>
              <w:rPr>
                <w:rFonts w:ascii="Calibri" w:cs="Calibri" w:eastAsia="Calibri" w:hAnsi="Calibri"/>
                <w:b/>
                <w:bCs/>
                <w:color w:val="1F4E78"/>
                <w:sz w:val="22"/>
                <w:szCs w:val="22"/>
              </w:rPr>
              <w:t xml:space="preserve">Pour aller plus loin</w:t>
            </w:r>
          </w:p>
          <w:p>
            <w:pPr>
              <w:spacing w:line="264" w:lineRule="auto"/>
            </w:pPr>
            <w:r>
              <w:rPr>
                <w:rFonts w:ascii="Calibri" w:cs="Calibri" w:eastAsia="Calibri" w:hAnsi="Calibri"/>
                <w:i/>
                <w:iCs/>
                <w:sz w:val="22"/>
                <w:szCs w:val="22"/>
              </w:rPr>
              <w:t xml:space="preserve">Redis (cache mémoire pour la gestion des sessions à grande échelle) et Kubernetes (orchestrateur de conteneurs pour la mise à l’échelle automatique) sont mentionnés dans la vision long terme du produit mais ne sont pas utilisés dans la version développée durant le stage : la charge attendue (une démonstration sur les données d’une seule entreprise) ne le justifie pas.</w:t>
            </w:r>
          </w:p>
        </w:tc>
      </w:tr>
    </w:tbl>
    <w:p>
      <w:pPr>
        <w:pStyle w:val="Heading2"/>
      </w:pPr>
      <w:r>
        <w:t xml:space="preserve">c) Autres ressources</w:t>
      </w:r>
    </w:p>
    <w:p>
      <w:pPr>
        <w:pStyle w:val="ListParagraph"/>
        <w:numPr>
          <w:ilvl w:val="0"/>
          <w:numId w:val="1"/>
        </w:numPr>
        <w:spacing w:after="100" w:line="264" w:lineRule="auto"/>
        <w:jc w:val="both"/>
      </w:pPr>
      <w:r>
        <w:rPr>
          <w:rFonts w:ascii="Calibri" w:cs="Calibri" w:eastAsia="Calibri" w:hAnsi="Calibri"/>
          <w:sz w:val="22"/>
          <w:szCs w:val="22"/>
        </w:rPr>
        <w:t xml:space="preserve">Spécification ArchiMate 3.2 (The Open Group) : référence pour le métamodèle de la couche Métier.</w:t>
      </w:r>
    </w:p>
    <w:p>
      <w:pPr>
        <w:pStyle w:val="ListParagraph"/>
        <w:numPr>
          <w:ilvl w:val="0"/>
          <w:numId w:val="1"/>
        </w:numPr>
        <w:spacing w:after="100" w:line="264" w:lineRule="auto"/>
        <w:jc w:val="both"/>
      </w:pPr>
      <w:r>
        <w:rPr>
          <w:rFonts w:ascii="Calibri" w:cs="Calibri" w:eastAsia="Calibri" w:hAnsi="Calibri"/>
          <w:sz w:val="22"/>
          <w:szCs w:val="22"/>
        </w:rPr>
        <w:t xml:space="preserve">Guide TOGAF 10 (The Open Group) : référence méthodologique.</w:t>
      </w:r>
    </w:p>
    <w:p>
      <w:pPr>
        <w:pStyle w:val="ListParagraph"/>
        <w:numPr>
          <w:ilvl w:val="0"/>
          <w:numId w:val="1"/>
        </w:numPr>
        <w:spacing w:after="100" w:line="264" w:lineRule="auto"/>
        <w:jc w:val="both"/>
      </w:pPr>
      <w:r>
        <w:rPr>
          <w:rFonts w:ascii="Calibri" w:cs="Calibri" w:eastAsia="Calibri" w:hAnsi="Calibri"/>
          <w:sz w:val="22"/>
          <w:szCs w:val="22"/>
        </w:rPr>
        <w:t xml:space="preserve">Documentation interne de K&amp;B Group SARL (activités, capacités métier, portefeuille applicatif) : jeu de données de référence du stage.</w:t>
      </w:r>
    </w:p>
    <w:p>
      <w:pPr>
        <w:pStyle w:val="ListParagraph"/>
        <w:numPr>
          <w:ilvl w:val="0"/>
          <w:numId w:val="1"/>
        </w:numPr>
        <w:spacing w:after="100" w:line="264" w:lineRule="auto"/>
        <w:jc w:val="both"/>
      </w:pPr>
      <w:r>
        <w:rPr>
          <w:rFonts w:ascii="Calibri" w:cs="Calibri" w:eastAsia="Calibri" w:hAnsi="Calibri"/>
          <w:sz w:val="22"/>
          <w:szCs w:val="22"/>
        </w:rPr>
        <w:t xml:space="preserve">Guide de rédaction du rapport de stage de l’Institut Saint Jean.</w:t>
      </w:r>
    </w:p>
    <w:p>
      <w:pPr>
        <w:pStyle w:val="Heading1"/>
      </w:pPr>
      <w:r>
        <w:t xml:space="preserve">X. Conclusion</w:t>
      </w:r>
    </w:p>
    <w:p>
      <w:pPr>
        <w:spacing w:after="160" w:before="0" w:line="264" w:lineRule="auto"/>
        <w:jc w:val="both"/>
      </w:pPr>
      <w:r>
        <w:rPr>
          <w:rFonts w:ascii="Calibri" w:cs="Calibri" w:eastAsia="Calibri" w:hAnsi="Calibri"/>
          <w:sz w:val="22"/>
          <w:szCs w:val="22"/>
        </w:rPr>
        <w:t xml:space="preserve">Ce cahier des charges technique définit un périmètre volontairement resserré autour des deux piliers du thème de stage — la modélisation de l’architecture d’entreprise et l’urbanisation des systèmes d’information — tout en conservant, en arrière-plan, la vision élargie d’ArchiVision comme Enterprise Architecture Management Platform. Ce resserrement n’est pas un renoncement : c’est la condition de faisabilité d’un projet mené par un développeur unique en six semaines, et le principe retenu — le référentiel comme source unique de vérité, les vues comme représentations générées automatiquement — reste celui qui a le plus de valeur à démontrer, même à petite échelle.</w:t>
      </w:r>
    </w:p>
    <w:p>
      <w:pPr>
        <w:spacing w:after="160" w:before="0" w:line="264" w:lineRule="auto"/>
        <w:jc w:val="both"/>
      </w:pPr>
      <w:r>
        <w:rPr>
          <w:rFonts w:ascii="Calibri" w:cs="Calibri" w:eastAsia="Calibri" w:hAnsi="Calibri"/>
          <w:sz w:val="22"/>
          <w:szCs w:val="22"/>
        </w:rPr>
        <w:t xml:space="preserve">La solution retenue — une application web Angular couplée à une API NestJS s’appuyant sur PostgreSQL, sans éditeur graphique interactif en version 1 — constitue une réponse proportionnée aux contraintes réelles du stage, tout en restant fidèle aux standards ouverts ArchiMate 3.2 et TOGAF 10. Le cas de K&amp;B Group SARL sert de fil rouge concret pour démontrer, avant le 4 septembre 2026, qu’un référentiel d’entreprise minimal mais réel peut générer automatiquement une vue d’architecture exploitable et une cartographie d’urbanisation cohérente.</w:t>
      </w:r>
    </w:p>
    <w:p>
      <w:pPr>
        <w:spacing w:after="160" w:before="0" w:line="264" w:lineRule="auto"/>
        <w:jc w:val="both"/>
      </w:pPr>
      <w:r>
        <w:rPr>
          <w:rFonts w:ascii="Calibri" w:cs="Calibri" w:eastAsia="Calibri" w:hAnsi="Calibri"/>
          <w:sz w:val="22"/>
          <w:szCs w:val="22"/>
        </w:rPr>
        <w:t xml:space="preserve">Au-delà de la réponse technique immédiate, ce projet constitue une expérience formatrice sur la conduite d’un développement logiciel individuel, la priorisation rigoureuse d’un périmètre sous contrainte de temps, et l’usage raisonné d’assistants d’intelligence artificielle dans un processus de développement professionnel.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8" w:sz="6" w:space="4"/>
      </w:pBdr>
      <w:spacing w:after="220" w:before="320" w:line="264" w:lineRule="auto"/>
      <w:outlineLvl w:val="0"/>
    </w:pPr>
    <w:rPr>
      <w:rFonts w:ascii="Calibri" w:cs="Calibri" w:eastAsia="Calibri" w:hAnsi="Calibri"/>
      <w:b/>
      <w:bCs/>
      <w:color w:val="1F4E78"/>
      <w:sz w:val="30"/>
      <w:szCs w:val="30"/>
    </w:rPr>
  </w:style>
  <w:style w:type="paragraph" w:styleId="Heading2">
    <w:name w:val="Heading 2"/>
    <w:basedOn w:val="Normal"/>
    <w:next w:val="Normal"/>
    <w:qFormat/>
    <w:pPr>
      <w:keepNext/>
      <w:spacing w:after="140" w:before="240" w:line="264" w:lineRule="auto"/>
      <w:outlineLvl w:val="1"/>
    </w:pPr>
    <w:rPr>
      <w:rFonts w:ascii="Calibri" w:cs="Calibri" w:eastAsia="Calibri" w:hAnsi="Calibri"/>
      <w:b/>
      <w:bCs/>
      <w:color w:val="2E74B5"/>
      <w:sz w:val="25"/>
      <w:szCs w:val="25"/>
    </w:rPr>
  </w:style>
  <w:style w:type="paragraph" w:styleId="Heading3">
    <w:name w:val="Heading 3"/>
    <w:basedOn w:val="Normal"/>
    <w:next w:val="Normal"/>
    <w:qFormat/>
    <w:pPr>
      <w:keepNext/>
      <w:spacing w:after="100" w:before="180" w:line="264" w:lineRule="auto"/>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2026-08-06T08:51:48.031Z</dcterms:created>
  <dcterms:modified xsi:type="dcterms:W3CDTF">2026-08-06T08:51:48.032Z</dcterms:modified>
</cp:coreProperties>
</file>

<file path=docProps/custom.xml><?xml version="1.0" encoding="utf-8"?>
<Properties xmlns="http://schemas.openxmlformats.org/officeDocument/2006/custom-properties" xmlns:vt="http://schemas.openxmlformats.org/officeDocument/2006/docPropsVTypes"/>
</file>