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B6E5F"/>
          <w:spacing w:val="40"/>
          <w:sz w:val="16"/>
          <w:szCs w:val="16"/>
        </w:rPr>
        <w:t xml:space="preserve">REFERENCE ARCHITECTURE</w:t>
      </w:r>
    </w:p>
    <w:p>
      <w:pPr>
        <w:spacing w:after="140"/>
      </w:pPr>
      <w:r>
        <w:rPr>
          <w:rFonts w:ascii="Calibri" w:cs="Calibri" w:eastAsia="Calibri" w:hAnsi="Calibri"/>
          <w:b/>
          <w:bCs/>
          <w:color w:val="1A1A1A"/>
          <w:sz w:val="48"/>
          <w:szCs w:val="48"/>
        </w:rPr>
        <w:t xml:space="preserve">Gemini Integration Architecture</w:t>
      </w:r>
    </w:p>
    <w:p>
      <w:pPr>
        <w:pBdr>
          <w:bottom w:val="single" w:color="1A1A1A" w:sz="12" w:space="10"/>
        </w:pBdr>
        <w:spacing w:after="60"/>
      </w:pPr>
      <w:r>
        <w:rPr>
          <w:rFonts w:ascii="Calibri" w:cs="Calibri" w:eastAsia="Calibri" w:hAnsi="Calibri"/>
          <w:i/>
          <w:iCs/>
          <w:color w:val="5E6B6B"/>
          <w:sz w:val="23"/>
          <w:szCs w:val="23"/>
        </w:rPr>
        <w:t xml:space="preserve">Where the model call sits, how configuration reaches it, and how its failures are kept away from everything else.</w:t>
      </w:r>
    </w:p>
    <w:p>
      <w:pPr>
        <w:spacing w:after="200"/>
      </w:pPr>
    </w:p>
    <w:p>
      <w:pPr>
        <w:spacing w:after="160" w:line="300"/>
      </w:pPr>
      <w:r>
        <w:rPr>
          <w:rFonts w:ascii="Calibri" w:cs="Calibri" w:eastAsia="Calibri" w:hAnsi="Calibri"/>
          <w:color w:val="1A1A1A"/>
          <w:sz w:val="22"/>
          <w:szCs w:val="22"/>
        </w:rPr>
        <w:t xml:space="preserve">Calling a language model is three lines of HTTP. Structuring an application around one is the part worth designing, because a model is the only component in the system that is slow, rate-limited, occasionally unavailable and free to return something you did not ask for. Everything below follows from isolating those four properties in one place.</w:t>
      </w:r>
    </w:p>
    <w:p>
      <w:pPr>
        <w:pStyle w:val="Heading1"/>
        <w:spacing w:after="180" w:before="360"/>
      </w:pPr>
      <w:r>
        <w:rPr>
          <w:rFonts w:ascii="Calibri" w:cs="Calibri" w:eastAsia="Calibri" w:hAnsi="Calibri"/>
          <w:b/>
          <w:bCs/>
          <w:color w:val="1A1A1A"/>
          <w:sz w:val="30"/>
          <w:szCs w:val="30"/>
        </w:rPr>
        <w:t xml:space="preserve">1. Decide which components may call the model</w:t>
      </w:r>
    </w:p>
    <w:p>
      <w:pPr>
        <w:spacing w:after="160" w:line="300"/>
      </w:pPr>
      <w:r>
        <w:rPr>
          <w:rFonts w:ascii="Calibri" w:cs="Calibri" w:eastAsia="Calibri" w:hAnsi="Calibri"/>
          <w:color w:val="1A1A1A"/>
          <w:sz w:val="22"/>
          <w:szCs w:val="22"/>
        </w:rPr>
        <w:t xml:space="preserve">The first architectural decision is the smallest set of components allowed to make a model call. In most applications the answer is: the write paths, and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COMPONENT</w:t>
            </w:r>
          </w:p>
        </w:tc>
        <w:tc>
          <w:tcPr>
            <w:tcW w:type="dxa" w:w="1500"/>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CALLS MODEL</w:t>
            </w:r>
          </w:p>
        </w:tc>
        <w:tc>
          <w:tcPr>
            <w:tcW w:type="dxa" w:w="4526"/>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WHY</w:t>
            </w:r>
          </w:p>
        </w:tc>
      </w:tr>
      <w:tr>
        <w:tc>
          <w:tcPr>
            <w:tcW w:type="dxa" w:w="30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1A1A1A"/>
                <w:sz w:val="20"/>
                <w:szCs w:val="20"/>
              </w:rPr>
              <w:t xml:space="preserve">Create / update handlers</w:t>
            </w:r>
          </w:p>
        </w:tc>
        <w:tc>
          <w:tcPr>
            <w:tcW w:type="dxa" w:w="15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067647"/>
                <w:sz w:val="20"/>
                <w:szCs w:val="20"/>
              </w:rPr>
              <w:t xml:space="preserve">Yes</w:t>
            </w:r>
          </w:p>
        </w:tc>
        <w:tc>
          <w:tcPr>
            <w:tcW w:type="dxa" w:w="45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New content arrives and must be interpreted once</w:t>
            </w:r>
          </w:p>
        </w:tc>
      </w:tr>
      <w:tr>
        <w:tc>
          <w:tcPr>
            <w:tcW w:type="dxa" w:w="30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1A1A1A"/>
                <w:sz w:val="20"/>
                <w:szCs w:val="20"/>
              </w:rPr>
              <w:t xml:space="preserve">Summary generator</w:t>
            </w:r>
          </w:p>
        </w:tc>
        <w:tc>
          <w:tcPr>
            <w:tcW w:type="dxa" w:w="15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067647"/>
                <w:sz w:val="20"/>
                <w:szCs w:val="20"/>
              </w:rPr>
              <w:t xml:space="preserve">Yes</w:t>
            </w:r>
          </w:p>
        </w:tc>
        <w:tc>
          <w:tcPr>
            <w:tcW w:type="dxa" w:w="45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Produces prose from stored aggregates</w:t>
            </w:r>
          </w:p>
        </w:tc>
      </w:tr>
      <w:tr>
        <w:tc>
          <w:tcPr>
            <w:tcW w:type="dxa" w:w="30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1A1A1A"/>
                <w:sz w:val="20"/>
                <w:szCs w:val="20"/>
              </w:rPr>
              <w:t xml:space="preserve">Scheduled job</w:t>
            </w:r>
          </w:p>
        </w:tc>
        <w:tc>
          <w:tcPr>
            <w:tcW w:type="dxa" w:w="15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067647"/>
                <w:sz w:val="20"/>
                <w:szCs w:val="20"/>
              </w:rPr>
              <w:t xml:space="preserve">Yes</w:t>
            </w:r>
          </w:p>
        </w:tc>
        <w:tc>
          <w:tcPr>
            <w:tcW w:type="dxa" w:w="45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Same work, no user waiting on it</w:t>
            </w:r>
          </w:p>
        </w:tc>
      </w:tr>
      <w:tr>
        <w:tc>
          <w:tcPr>
            <w:tcW w:type="dxa" w:w="30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1A1A1A"/>
                <w:sz w:val="20"/>
                <w:szCs w:val="20"/>
              </w:rPr>
              <w:t xml:space="preserve">List / read handlers</w:t>
            </w:r>
          </w:p>
        </w:tc>
        <w:tc>
          <w:tcPr>
            <w:tcW w:type="dxa" w:w="15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B42318"/>
                <w:sz w:val="20"/>
                <w:szCs w:val="20"/>
              </w:rPr>
              <w:t xml:space="preserve">No</w:t>
            </w:r>
          </w:p>
        </w:tc>
        <w:tc>
          <w:tcPr>
            <w:tcW w:type="dxa" w:w="45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The interpretation is already stored</w:t>
            </w:r>
          </w:p>
        </w:tc>
      </w:tr>
      <w:tr>
        <w:tc>
          <w:tcPr>
            <w:tcW w:type="dxa" w:w="30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1A1A1A"/>
                <w:sz w:val="20"/>
                <w:szCs w:val="20"/>
              </w:rPr>
              <w:t xml:space="preserve">Dashboard / aggregation</w:t>
            </w:r>
          </w:p>
        </w:tc>
        <w:tc>
          <w:tcPr>
            <w:tcW w:type="dxa" w:w="15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B42318"/>
                <w:sz w:val="20"/>
                <w:szCs w:val="20"/>
              </w:rPr>
              <w:t xml:space="preserve">No</w:t>
            </w:r>
          </w:p>
        </w:tc>
        <w:tc>
          <w:tcPr>
            <w:tcW w:type="dxa" w:w="45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Arithmetic over stored values</w:t>
            </w:r>
          </w:p>
        </w:tc>
      </w:tr>
      <w:tr>
        <w:tc>
          <w:tcPr>
            <w:tcW w:type="dxa" w:w="30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1A1A1A"/>
                <w:sz w:val="20"/>
                <w:szCs w:val="20"/>
              </w:rPr>
              <w:t xml:space="preserve">Auth, health, exports</w:t>
            </w:r>
          </w:p>
        </w:tc>
        <w:tc>
          <w:tcPr>
            <w:tcW w:type="dxa" w:w="15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B42318"/>
                <w:sz w:val="20"/>
                <w:szCs w:val="20"/>
              </w:rPr>
              <w:t xml:space="preserve">No</w:t>
            </w:r>
          </w:p>
        </w:tc>
        <w:tc>
          <w:tcPr>
            <w:tcW w:type="dxa" w:w="45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No natural language involved</w:t>
            </w:r>
          </w:p>
        </w:tc>
      </w:tr>
    </w:tbl>
    <w:p>
      <w:pPr>
        <w:spacing w:after="220"/>
      </w:pPr>
      <w:r>
        <w:rPr>
          <w:rFonts w:ascii="Calibri" w:cs="Calibri" w:eastAsia="Calibri" w:hAnsi="Calibri"/>
          <w:i/>
          <w:iCs/>
          <w:color w:val="5E6B6B"/>
          <w:sz w:val="18"/>
          <w:szCs w:val="18"/>
        </w:rPr>
        <w:t xml:space="preserve">A typical split: three of seventeen functions call the model; the rest read what those three stored.</w:t>
      </w:r>
    </w:p>
    <w:p>
      <w:pPr>
        <w:spacing w:after="160" w:line="300"/>
      </w:pPr>
      <w:r>
        <w:rPr>
          <w:rFonts w:ascii="Calibri" w:cs="Calibri" w:eastAsia="Calibri" w:hAnsi="Calibri"/>
          <w:color w:val="1A1A1A"/>
          <w:sz w:val="22"/>
          <w:szCs w:val="22"/>
        </w:rPr>
        <w:t xml:space="preserve">This is worth stating explicitly in your design, because the alternative — interpreting content when it is read — multiplies cost by the number of views and makes every page load depend on a third party. Interpret once on write, store the result, and read paths become pure database queries that cannot fail because of an external outage.</w:t>
      </w:r>
    </w:p>
    <w:p>
      <w:pPr>
        <w:pStyle w:val="Heading1"/>
        <w:spacing w:after="180" w:before="360"/>
      </w:pPr>
      <w:r>
        <w:rPr>
          <w:rFonts w:ascii="Calibri" w:cs="Calibri" w:eastAsia="Calibri" w:hAnsi="Calibri"/>
          <w:b/>
          <w:bCs/>
          <w:color w:val="1A1A1A"/>
          <w:sz w:val="30"/>
          <w:szCs w:val="30"/>
        </w:rPr>
        <w:t xml:space="preserve">2. Give the API one owner</w:t>
      </w:r>
    </w:p>
    <w:p>
      <w:pPr>
        <w:spacing w:after="160" w:line="300"/>
      </w:pPr>
      <w:r>
        <w:rPr>
          <w:rFonts w:ascii="Calibri" w:cs="Calibri" w:eastAsia="Calibri" w:hAnsi="Calibri"/>
          <w:color w:val="1A1A1A"/>
          <w:sz w:val="22"/>
          <w:szCs w:val="22"/>
        </w:rPr>
        <w:t xml:space="preserve">Exactly one module forms HTTP requests to the model. Handlers never do, and neither does business logic. That module owns the endpoint, the prompt templates, response validation, retries, model selection and timeouts.</w:t>
      </w: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services/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gemini_client.py     &lt;- the only module that speaks HTTP</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offline_writer.py    &lt;- fallback; no network dependency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entry_service.py     &lt;- business logic; chooses between them</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handlers/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create_entry.py      &lt;- imports entry_service, never the client</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  list_entries.py      &lt;- imports nothing model-related at all</w:t>
      </w:r>
    </w:p>
    <w:p>
      <w:pPr>
        <w:spacing w:after="160" w:line="300"/>
      </w:pPr>
      <w:r>
        <w:rPr>
          <w:rFonts w:ascii="Calibri" w:cs="Calibri" w:eastAsia="Calibri" w:hAnsi="Calibri"/>
          <w:color w:val="1A1A1A"/>
          <w:sz w:val="22"/>
          <w:szCs w:val="22"/>
        </w:rPr>
        <w:t xml:space="preserve">The payoff is that every concern which makes a model awkward — the retry policy, the model list, the parsing of an untrusted response — has exactly one home. Changing the retry strategy touches one file. Swapping providers touches one file. And a reviewer can answer “what happens when the API is down?” by reading one function.</w:t>
      </w:r>
    </w:p>
    <w:p>
      <w:pPr>
        <w:pBdr>
          <w:left w:val="single" w:color="B45309" w:sz="18" w:space="10"/>
        </w:pBdr>
        <w:shd w:fill="FBF7F0" w:color="auto" w:val="clear"/>
        <w:spacing w:after="60" w:before="220"/>
        <w:ind w:left="160" w:right="160"/>
      </w:pPr>
      <w:r>
        <w:rPr>
          <w:rFonts w:ascii="Calibri" w:cs="Calibri" w:eastAsia="Calibri" w:hAnsi="Calibri"/>
          <w:b/>
          <w:bCs/>
          <w:color w:val="B45309"/>
          <w:sz w:val="17"/>
          <w:szCs w:val="17"/>
        </w:rPr>
        <w:t xml:space="preserve">BOUNDARY RULE</w:t>
      </w:r>
    </w:p>
    <w:p>
      <w:pPr>
        <w:pBdr>
          <w:left w:val="single" w:color="B45309" w:sz="18" w:space="10"/>
        </w:pBdr>
        <w:shd w:fill="FBF7F0" w:color="auto" w:val="clear"/>
        <w:spacing w:after="220" w:line="300"/>
        <w:ind w:left="160" w:right="160"/>
      </w:pPr>
      <w:r>
        <w:rPr>
          <w:rFonts w:ascii="Calibri" w:cs="Calibri" w:eastAsia="Calibri" w:hAnsi="Calibri"/>
          <w:color w:val="1A1A1A"/>
          <w:sz w:val="21"/>
          <w:szCs w:val="21"/>
        </w:rPr>
        <w:t xml:space="preserve">If a handler imports the client directly, the boundary has already leaked. Handlers convert HTTP to arguments and back; services decide what should happen; the client knows how to ask the model. Three responsibilities, three layers, no shortcuts between them.</w:t>
      </w:r>
    </w:p>
    <w:p>
      <w:pPr>
        <w:pStyle w:val="Heading1"/>
        <w:spacing w:after="180" w:before="360"/>
      </w:pPr>
      <w:r>
        <w:rPr>
          <w:rFonts w:ascii="Calibri" w:cs="Calibri" w:eastAsia="Calibri" w:hAnsi="Calibri"/>
          <w:b/>
          <w:bCs/>
          <w:color w:val="1A1A1A"/>
          <w:sz w:val="30"/>
          <w:szCs w:val="30"/>
        </w:rPr>
        <w:t xml:space="preserve">3. Let configuration flow one way</w:t>
      </w:r>
    </w:p>
    <w:p>
      <w:pPr>
        <w:spacing w:after="160" w:line="300"/>
      </w:pPr>
      <w:r>
        <w:rPr>
          <w:rFonts w:ascii="Calibri" w:cs="Calibri" w:eastAsia="Calibri" w:hAnsi="Calibri"/>
          <w:color w:val="1A1A1A"/>
          <w:sz w:val="22"/>
          <w:szCs w:val="22"/>
        </w:rPr>
        <w:t xml:space="preserve">Model names, the key and any tuning values are deployment configuration, not constants. The flow runs in one direction, and each hop is visible in version control except the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STAGE</w:t>
            </w:r>
          </w:p>
        </w:tc>
        <w:tc>
          <w:tcPr>
            <w:tcW w:type="dxa" w:w="2600"/>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LIVES IN</w:t>
            </w:r>
          </w:p>
        </w:tc>
        <w:tc>
          <w:tcPr>
            <w:tcW w:type="dxa" w:w="4226"/>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NOTES</w:t>
            </w:r>
          </w:p>
        </w:tc>
      </w:tr>
      <w:tr>
        <w:tc>
          <w:tcPr>
            <w:tcW w:type="dxa" w:w="22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Template parameter</w:t>
            </w:r>
          </w:p>
        </w:tc>
        <w:tc>
          <w:tcPr>
            <w:tcW w:type="dxa" w:w="2600"/>
            <w:tcBorders>
              <w:top w:val="none"/>
              <w:left w:val="none"/>
              <w:bottom w:val="single" w:color="D6DCDB" w:sz="2"/>
              <w:right w:val="none"/>
            </w:tcBorders>
            <w:tcMar>
              <w:top w:type="dxa" w:w="80"/>
              <w:left w:type="dxa" w:w="100"/>
              <w:bottom w:type="dxa" w:w="80"/>
              <w:right w:type="dxa" w:w="100"/>
            </w:tcMar>
          </w:tcPr>
          <w:p>
            <w:pPr>
              <w:spacing w:line="250"/>
            </w:pPr>
            <w:r>
              <w:rPr>
                <w:rFonts w:ascii="Consolas" w:cs="Consolas" w:eastAsia="Consolas" w:hAnsi="Consolas"/>
                <w:b w:val="false"/>
                <w:bCs w:val="false"/>
                <w:color w:val="1A1A1A"/>
                <w:sz w:val="17"/>
                <w:szCs w:val="17"/>
              </w:rPr>
              <w:t xml:space="preserve">template.yaml</w:t>
            </w:r>
          </w:p>
        </w:tc>
        <w:tc>
          <w:tcPr>
            <w:tcW w:type="dxa" w:w="42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Declared, documented, defaulted</w:t>
            </w:r>
          </w:p>
        </w:tc>
      </w:tr>
      <w:tr>
        <w:tc>
          <w:tcPr>
            <w:tcW w:type="dxa" w:w="22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Stack parameter</w:t>
            </w:r>
          </w:p>
        </w:tc>
        <w:tc>
          <w:tcPr>
            <w:tcW w:type="dxa" w:w="26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Deployment command</w:t>
            </w:r>
          </w:p>
        </w:tc>
        <w:tc>
          <w:tcPr>
            <w:tcW w:type="dxa" w:w="42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Overridable per environment</w:t>
            </w:r>
          </w:p>
        </w:tc>
      </w:tr>
      <w:tr>
        <w:tc>
          <w:tcPr>
            <w:tcW w:type="dxa" w:w="22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Environment variable</w:t>
            </w:r>
          </w:p>
        </w:tc>
        <w:tc>
          <w:tcPr>
            <w:tcW w:type="dxa" w:w="26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Function configuration</w:t>
            </w:r>
          </w:p>
        </w:tc>
        <w:tc>
          <w:tcPr>
            <w:tcW w:type="dxa" w:w="42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What the runtime actually sees</w:t>
            </w:r>
          </w:p>
        </w:tc>
      </w:tr>
      <w:tr>
        <w:tc>
          <w:tcPr>
            <w:tcW w:type="dxa" w:w="22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Module read</w:t>
            </w:r>
          </w:p>
        </w:tc>
        <w:tc>
          <w:tcPr>
            <w:tcW w:type="dxa" w:w="2600"/>
            <w:tcBorders>
              <w:top w:val="none"/>
              <w:left w:val="none"/>
              <w:bottom w:val="single" w:color="D6DCDB" w:sz="2"/>
              <w:right w:val="none"/>
            </w:tcBorders>
            <w:tcMar>
              <w:top w:type="dxa" w:w="80"/>
              <w:left w:type="dxa" w:w="100"/>
              <w:bottom w:type="dxa" w:w="80"/>
              <w:right w:type="dxa" w:w="100"/>
            </w:tcMar>
          </w:tcPr>
          <w:p>
            <w:pPr>
              <w:spacing w:line="250"/>
            </w:pPr>
            <w:r>
              <w:rPr>
                <w:rFonts w:ascii="Consolas" w:cs="Consolas" w:eastAsia="Consolas" w:hAnsi="Consolas"/>
                <w:b w:val="false"/>
                <w:bCs w:val="false"/>
                <w:color w:val="1A1A1A"/>
                <w:sz w:val="17"/>
                <w:szCs w:val="17"/>
              </w:rPr>
              <w:t xml:space="preserve">gemini_client.py</w:t>
            </w:r>
          </w:p>
        </w:tc>
        <w:tc>
          <w:tcPr>
            <w:tcW w:type="dxa" w:w="42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Read at call time, not import time</w:t>
            </w:r>
          </w:p>
        </w:tc>
      </w:tr>
    </w:tbl>
    <w:p>
      <w:pPr>
        <w:spacing w:after="200"/>
      </w:pPr>
    </w:p>
    <w:p>
      <w:pPr>
        <w:pStyle w:val="Heading2"/>
        <w:spacing w:after="120" w:before="280"/>
      </w:pPr>
      <w:r>
        <w:rPr>
          <w:rFonts w:ascii="Calibri" w:cs="Calibri" w:eastAsia="Calibri" w:hAnsi="Calibri"/>
          <w:b/>
          <w:bCs/>
          <w:color w:val="1A1A1A"/>
          <w:sz w:val="24"/>
          <w:szCs w:val="24"/>
        </w:rPr>
        <w:t xml:space="preserve">The template</w:t>
      </w: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Parameters: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GeminiApiKey: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Type: String</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NoEcho: true          # keeps it out of console + events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Description: API key for the model provider</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GeminiModels: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Type: String</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Default: flash-lite,flash,flash-previous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Description: &gt;-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Models tried in order. Limits are per model, so</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      listing several is a resilience measure.</w:t>
      </w:r>
    </w:p>
    <w:p>
      <w:pPr>
        <w:spacing w:after="160" w:line="300"/>
      </w:pPr>
      <w:r>
        <w:rPr>
          <w:rFonts w:ascii="Calibri" w:cs="Calibri" w:eastAsia="Calibri" w:hAnsi="Calibri"/>
          <w:color w:val="1A1A1A"/>
          <w:sz w:val="22"/>
          <w:szCs w:val="22"/>
        </w:rPr>
        <w:t xml:space="preserve">Note that the model list is a </w:t>
      </w:r>
      <w:r>
        <w:rPr>
          <w:rFonts w:ascii="Consolas" w:cs="Consolas" w:eastAsia="Consolas" w:hAnsi="Consolas"/>
          <w:b w:val="false"/>
          <w:bCs w:val="false"/>
          <w:i w:val="false"/>
          <w:iCs w:val="false"/>
          <w:color w:val="1A1A1A"/>
          <w:sz w:val="20"/>
          <w:szCs w:val="20"/>
        </w:rPr>
        <w:t xml:space="preserve">String</w:t>
      </w:r>
      <w:r>
        <w:rPr>
          <w:rFonts w:ascii="Calibri" w:cs="Calibri" w:eastAsia="Calibri" w:hAnsi="Calibri"/>
          <w:color w:val="1A1A1A"/>
          <w:sz w:val="22"/>
          <w:szCs w:val="22"/>
        </w:rPr>
        <w:t xml:space="preserve">, not a </w:t>
      </w:r>
      <w:r>
        <w:rPr>
          <w:rFonts w:ascii="Consolas" w:cs="Consolas" w:eastAsia="Consolas" w:hAnsi="Consolas"/>
          <w:b w:val="false"/>
          <w:bCs w:val="false"/>
          <w:i w:val="false"/>
          <w:iCs w:val="false"/>
          <w:color w:val="1A1A1A"/>
          <w:sz w:val="20"/>
          <w:szCs w:val="20"/>
        </w:rPr>
        <w:t xml:space="preserve">CommaDelimitedList</w:t>
      </w:r>
      <w:r>
        <w:rPr>
          <w:rFonts w:ascii="Calibri" w:cs="Calibri" w:eastAsia="Calibri" w:hAnsi="Calibri"/>
          <w:color w:val="1A1A1A"/>
          <w:sz w:val="22"/>
          <w:szCs w:val="22"/>
        </w:rPr>
        <w:t xml:space="preserve">. The latter reads better in a template but arrives at the runtime already split, which pushes the parsing decision into CloudFormation rather than your code. Keeping it a plain string means one parser, in one place, that you can test.</w:t>
      </w:r>
    </w:p>
    <w:p>
      <w:pPr>
        <w:pStyle w:val="Heading2"/>
        <w:spacing w:after="120" w:before="280"/>
      </w:pPr>
      <w:r>
        <w:rPr>
          <w:rFonts w:ascii="Calibri" w:cs="Calibri" w:eastAsia="Calibri" w:hAnsi="Calibri"/>
          <w:b/>
          <w:bCs/>
          <w:color w:val="1A1A1A"/>
          <w:sz w:val="24"/>
          <w:szCs w:val="24"/>
        </w:rPr>
        <w:t xml:space="preserve">Reading it at call time</w:t>
      </w: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def model_sequence() -&gt; list[str]:</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"""Read at call time, not at import.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A module-level constant is captured once per container</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and cannot be changed without a new deployment - and it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resists testing, because a test cannot vary it after</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the module has loaded.</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raw = os.environ.get("GEMINI_MODELS", DEFAULT_MODELS)</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    return [m.strip() for m in raw.split(",") if m.strip()]</w:t>
      </w:r>
    </w:p>
    <w:p>
      <w:pPr>
        <w:pStyle w:val="Heading1"/>
        <w:spacing w:after="180" w:before="360"/>
      </w:pPr>
      <w:r>
        <w:rPr>
          <w:rFonts w:ascii="Calibri" w:cs="Calibri" w:eastAsia="Calibri" w:hAnsi="Calibri"/>
          <w:b/>
          <w:bCs/>
          <w:color w:val="1A1A1A"/>
          <w:sz w:val="30"/>
          <w:szCs w:val="30"/>
        </w:rPr>
        <w:t xml:space="preserve">4. Scope the key to the functions that need it</w:t>
      </w:r>
    </w:p>
    <w:p>
      <w:pPr>
        <w:spacing w:after="160" w:line="300"/>
      </w:pPr>
      <w:r>
        <w:rPr>
          <w:rFonts w:ascii="Calibri" w:cs="Calibri" w:eastAsia="Calibri" w:hAnsi="Calibri"/>
          <w:color w:val="1A1A1A"/>
          <w:sz w:val="22"/>
          <w:szCs w:val="22"/>
        </w:rPr>
        <w:t xml:space="preserve">The convenient thing is to put the key in the template's Globals block, where every function inherits it. The correct thing is to attach it only to the functions that call the model.</w:t>
      </w: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Globals: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Function:</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Environment: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Variables: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TABLE_NAME: !Ref DataTable    # everyone needs this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CreateEntryFunction:                  # only the callers get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Properties:                         # the key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Environment: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Variables: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GEMINI_API_KEY: !Ref GeminiApiKey</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        GEMINI_MODELS:  !Ref GeminiModels</w:t>
      </w:r>
    </w:p>
    <w:p>
      <w:pPr>
        <w:spacing w:after="160" w:line="300"/>
      </w:pPr>
      <w:r>
        <w:rPr>
          <w:rFonts w:ascii="Calibri" w:cs="Calibri" w:eastAsia="Calibri" w:hAnsi="Calibri"/>
          <w:color w:val="1A1A1A"/>
          <w:sz w:val="22"/>
          <w:szCs w:val="22"/>
        </w:rPr>
        <w:t xml:space="preserve">A key in Globals is readable from every function in the stack, including ones that have no business holding it. Anyone who can describe a function configuration can read its environment. Scoping it costs a few extra lines and means a vulnerability in a read-only handler cannot leak a credential that handler never needed.</w:t>
      </w:r>
    </w:p>
    <w:p>
      <w:pPr>
        <w:pBdr>
          <w:left w:val="single" w:color="0B6E5F" w:sz="18" w:space="10"/>
        </w:pBdr>
        <w:shd w:fill="FBF7F0" w:color="auto" w:val="clear"/>
        <w:spacing w:after="60" w:before="220"/>
        <w:ind w:left="160" w:right="160"/>
      </w:pPr>
      <w:r>
        <w:rPr>
          <w:rFonts w:ascii="Calibri" w:cs="Calibri" w:eastAsia="Calibri" w:hAnsi="Calibri"/>
          <w:b/>
          <w:bCs/>
          <w:color w:val="0B6E5F"/>
          <w:sz w:val="17"/>
          <w:szCs w:val="17"/>
        </w:rPr>
        <w:t xml:space="preserve">NOT AN IAM CONCERN</w:t>
      </w:r>
    </w:p>
    <w:p>
      <w:pPr>
        <w:pBdr>
          <w:left w:val="single" w:color="0B6E5F" w:sz="18" w:space="10"/>
        </w:pBdr>
        <w:shd w:fill="FBF7F0" w:color="auto" w:val="clear"/>
        <w:spacing w:after="220" w:line="300"/>
        <w:ind w:left="160" w:right="160"/>
      </w:pPr>
      <w:r>
        <w:rPr>
          <w:rFonts w:ascii="Calibri" w:cs="Calibri" w:eastAsia="Calibri" w:hAnsi="Calibri"/>
          <w:color w:val="1A1A1A"/>
          <w:sz w:val="21"/>
          <w:szCs w:val="21"/>
        </w:rPr>
        <w:t xml:space="preserve">Calls to the model are ordinary outbound HTTPS to a third party, so no IAM policy grants or restricts them. The only permissions your functions need are for your own resources — the database, the bucket. This surprises people: there is nothing to configure on the AWS side to allow the call, and nothing on the AWS side that will stop it either.</w:t>
      </w:r>
    </w:p>
    <w:p>
      <w:pPr>
        <w:pStyle w:val="Heading1"/>
        <w:spacing w:after="180" w:before="360"/>
      </w:pPr>
      <w:r>
        <w:rPr>
          <w:rFonts w:ascii="Calibri" w:cs="Calibri" w:eastAsia="Calibri" w:hAnsi="Calibri"/>
          <w:b/>
          <w:bCs/>
          <w:color w:val="1A1A1A"/>
          <w:sz w:val="30"/>
          <w:szCs w:val="30"/>
        </w:rPr>
        <w:t xml:space="preserve">5. Size the functions around the retry budget</w:t>
      </w:r>
    </w:p>
    <w:p>
      <w:pPr>
        <w:spacing w:after="160" w:line="300"/>
      </w:pPr>
      <w:r>
        <w:rPr>
          <w:rFonts w:ascii="Calibri" w:cs="Calibri" w:eastAsia="Calibri" w:hAnsi="Calibri"/>
          <w:color w:val="1A1A1A"/>
          <w:sz w:val="22"/>
          <w:szCs w:val="22"/>
        </w:rPr>
        <w:t xml:space="preserve">A function that calls the model needs a longer timeout than one that does not, and the two numbers are linked: the function timeout must exceed the worst case the client can spend, plus the work that follows the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26"/>
      </w:tblGrid>
      <w:tr>
        <w:trPr>
          <w:tblHeader/>
        </w:trPr>
        <w:tc>
          <w:tcPr>
            <w:tcW w:type="dxa" w:w="4200"/>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FUNCTION</w:t>
            </w:r>
          </w:p>
        </w:tc>
        <w:tc>
          <w:tcPr>
            <w:tcW w:type="dxa" w:w="1400"/>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TIMEOUT</w:t>
            </w:r>
          </w:p>
        </w:tc>
        <w:tc>
          <w:tcPr>
            <w:tcW w:type="dxa" w:w="3426"/>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REASONING</w:t>
            </w:r>
          </w:p>
        </w:tc>
      </w:tr>
      <w:tr>
        <w:tc>
          <w:tcPr>
            <w:tcW w:type="dxa" w:w="42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Read handlers</w:t>
            </w:r>
          </w:p>
        </w:tc>
        <w:tc>
          <w:tcPr>
            <w:tcW w:type="dxa" w:w="1400"/>
            <w:tcBorders>
              <w:top w:val="none"/>
              <w:left w:val="none"/>
              <w:bottom w:val="single" w:color="D6DCDB" w:sz="2"/>
              <w:right w:val="none"/>
            </w:tcBorders>
            <w:tcMar>
              <w:top w:type="dxa" w:w="80"/>
              <w:left w:type="dxa" w:w="100"/>
              <w:bottom w:type="dxa" w:w="80"/>
              <w:right w:type="dxa" w:w="100"/>
            </w:tcMar>
          </w:tcPr>
          <w:p>
            <w:pPr>
              <w:spacing w:line="250"/>
            </w:pPr>
            <w:r>
              <w:rPr>
                <w:rFonts w:ascii="Consolas" w:cs="Consolas" w:eastAsia="Consolas" w:hAnsi="Consolas"/>
                <w:b w:val="false"/>
                <w:bCs w:val="false"/>
                <w:color w:val="1A1A1A"/>
                <w:sz w:val="17"/>
                <w:szCs w:val="17"/>
              </w:rPr>
              <w:t xml:space="preserve">10-30s</w:t>
            </w:r>
          </w:p>
        </w:tc>
        <w:tc>
          <w:tcPr>
            <w:tcW w:type="dxa" w:w="34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A database query and serialisation</w:t>
            </w:r>
          </w:p>
        </w:tc>
      </w:tr>
      <w:tr>
        <w:tc>
          <w:tcPr>
            <w:tcW w:type="dxa" w:w="42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Create / update (classification)</w:t>
            </w:r>
          </w:p>
        </w:tc>
        <w:tc>
          <w:tcPr>
            <w:tcW w:type="dxa" w:w="1400"/>
            <w:tcBorders>
              <w:top w:val="none"/>
              <w:left w:val="none"/>
              <w:bottom w:val="single" w:color="D6DCDB" w:sz="2"/>
              <w:right w:val="none"/>
            </w:tcBorders>
            <w:tcMar>
              <w:top w:type="dxa" w:w="80"/>
              <w:left w:type="dxa" w:w="100"/>
              <w:bottom w:type="dxa" w:w="80"/>
              <w:right w:type="dxa" w:w="100"/>
            </w:tcMar>
          </w:tcPr>
          <w:p>
            <w:pPr>
              <w:spacing w:line="250"/>
            </w:pPr>
            <w:r>
              <w:rPr>
                <w:rFonts w:ascii="Consolas" w:cs="Consolas" w:eastAsia="Consolas" w:hAnsi="Consolas"/>
                <w:b w:val="false"/>
                <w:bCs w:val="false"/>
                <w:color w:val="1A1A1A"/>
                <w:sz w:val="17"/>
                <w:szCs w:val="17"/>
              </w:rPr>
              <w:t xml:space="preserve">60s</w:t>
            </w:r>
          </w:p>
        </w:tc>
        <w:tc>
          <w:tcPr>
            <w:tcW w:type="dxa" w:w="34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Retry budget 46s, then a write</w:t>
            </w:r>
          </w:p>
        </w:tc>
      </w:tr>
      <w:tr>
        <w:tc>
          <w:tcPr>
            <w:tcW w:type="dxa" w:w="42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Summary generation</w:t>
            </w:r>
          </w:p>
        </w:tc>
        <w:tc>
          <w:tcPr>
            <w:tcW w:type="dxa" w:w="1400"/>
            <w:tcBorders>
              <w:top w:val="none"/>
              <w:left w:val="none"/>
              <w:bottom w:val="single" w:color="D6DCDB" w:sz="2"/>
              <w:right w:val="none"/>
            </w:tcBorders>
            <w:tcMar>
              <w:top w:type="dxa" w:w="80"/>
              <w:left w:type="dxa" w:w="100"/>
              <w:bottom w:type="dxa" w:w="80"/>
              <w:right w:type="dxa" w:w="100"/>
            </w:tcMar>
          </w:tcPr>
          <w:p>
            <w:pPr>
              <w:spacing w:line="250"/>
            </w:pPr>
            <w:r>
              <w:rPr>
                <w:rFonts w:ascii="Consolas" w:cs="Consolas" w:eastAsia="Consolas" w:hAnsi="Consolas"/>
                <w:b w:val="false"/>
                <w:bCs w:val="false"/>
                <w:color w:val="1A1A1A"/>
                <w:sz w:val="17"/>
                <w:szCs w:val="17"/>
              </w:rPr>
              <w:t xml:space="preserve">90s</w:t>
            </w:r>
          </w:p>
        </w:tc>
        <w:tc>
          <w:tcPr>
            <w:tcW w:type="dxa" w:w="34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Longer output; generation is slower</w:t>
            </w:r>
          </w:p>
        </w:tc>
      </w:tr>
      <w:tr>
        <w:tc>
          <w:tcPr>
            <w:tcW w:type="dxa" w:w="42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Scheduled batch job</w:t>
            </w:r>
          </w:p>
        </w:tc>
        <w:tc>
          <w:tcPr>
            <w:tcW w:type="dxa" w:w="1400"/>
            <w:tcBorders>
              <w:top w:val="none"/>
              <w:left w:val="none"/>
              <w:bottom w:val="single" w:color="D6DCDB" w:sz="2"/>
              <w:right w:val="none"/>
            </w:tcBorders>
            <w:tcMar>
              <w:top w:type="dxa" w:w="80"/>
              <w:left w:type="dxa" w:w="100"/>
              <w:bottom w:type="dxa" w:w="80"/>
              <w:right w:type="dxa" w:w="100"/>
            </w:tcMar>
          </w:tcPr>
          <w:p>
            <w:pPr>
              <w:spacing w:line="250"/>
            </w:pPr>
            <w:r>
              <w:rPr>
                <w:rFonts w:ascii="Consolas" w:cs="Consolas" w:eastAsia="Consolas" w:hAnsi="Consolas"/>
                <w:b w:val="false"/>
                <w:bCs w:val="false"/>
                <w:color w:val="1A1A1A"/>
                <w:sz w:val="17"/>
                <w:szCs w:val="17"/>
              </w:rPr>
              <w:t xml:space="preserve">300s</w:t>
            </w:r>
          </w:p>
        </w:tc>
        <w:tc>
          <w:tcPr>
            <w:tcW w:type="dxa" w:w="34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Many users in one invocation</w:t>
            </w:r>
          </w:p>
        </w:tc>
      </w:tr>
    </w:tbl>
    <w:p>
      <w:pPr>
        <w:spacing w:after="200"/>
      </w:pP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  Client budget           Function timeout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    ----------------</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3 attempts x 15s  = 45s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backoff 1s + 3s   =  4s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  worst case          49s  &lt;  60s   OK, with headroom</w:t>
      </w:r>
    </w:p>
    <w:p>
      <w:pPr>
        <w:spacing w:after="160" w:line="300"/>
      </w:pPr>
      <w:r>
        <w:rPr>
          <w:rFonts w:ascii="Calibri" w:cs="Calibri" w:eastAsia="Calibri" w:hAnsi="Calibri"/>
          <w:color w:val="1A1A1A"/>
          <w:sz w:val="22"/>
          <w:szCs w:val="22"/>
        </w:rPr>
        <w:t xml:space="preserve">Keep that arithmetic in a comment beside the constants. It is the first thing that goes stale when someone raises the attempt count, and the failure it causes — the function timing out instead of falling back cleanly — looks nothing like its cause.</w:t>
      </w:r>
    </w:p>
    <w:p>
      <w:pPr>
        <w:pStyle w:val="Heading1"/>
        <w:spacing w:after="180" w:before="360"/>
      </w:pPr>
      <w:r>
        <w:rPr>
          <w:rFonts w:ascii="Calibri" w:cs="Calibri" w:eastAsia="Calibri" w:hAnsi="Calibri"/>
          <w:b/>
          <w:bCs/>
          <w:color w:val="1A1A1A"/>
          <w:sz w:val="30"/>
          <w:szCs w:val="30"/>
        </w:rPr>
        <w:t xml:space="preserve">6. Put resilience inside the client</w:t>
      </w:r>
    </w:p>
    <w:p>
      <w:pPr>
        <w:spacing w:after="160" w:line="300"/>
      </w:pPr>
      <w:r>
        <w:rPr>
          <w:rFonts w:ascii="Calibri" w:cs="Calibri" w:eastAsia="Calibri" w:hAnsi="Calibri"/>
          <w:color w:val="1A1A1A"/>
          <w:sz w:val="22"/>
          <w:szCs w:val="22"/>
        </w:rPr>
        <w:t xml:space="preserve">Retries, model failover and timeouts belong to the client module, not to its callers. A service asks for a classification; it does not know or care that three models were tried to get one.</w:t>
      </w: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for attempt, model in enumerate(attempt_plan(), start=1):</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if model in finished:</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continue                     # spent or unavailable</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try: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return validate(call(prompt, model, timeout=15))</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except ModelError as e:</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log.warning("attempt %d (%s): %s", attempt, model, e)</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if not e.is_retryable:       # quota, bad request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finished.add(model)</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sleep(backoff[attempt])</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raise ModelUnavailable(last_error)   # every model refused</w:t>
      </w:r>
    </w:p>
    <w:p>
      <w:pPr>
        <w:spacing w:after="160" w:line="300"/>
      </w:pPr>
      <w:r>
        <w:rPr>
          <w:rFonts w:ascii="Calibri" w:cs="Calibri" w:eastAsia="Calibri" w:hAnsi="Calibri"/>
          <w:color w:val="1A1A1A"/>
          <w:sz w:val="22"/>
          <w:szCs w:val="22"/>
        </w:rPr>
        <w:t xml:space="preserve">Two properties make this work as an architecture rather than a loop. Each attempt uses a different model, because limits and capacity are per model — so a busy or exhausted one is a reason to ask elsewhere, not to give up. And the client raises a single, typed exception when everything has failed, which is the only failure its callers ever have to reason about.</w:t>
      </w:r>
    </w:p>
    <w:p>
      <w:pPr>
        <w:pStyle w:val="Heading1"/>
        <w:spacing w:after="180" w:before="360"/>
      </w:pPr>
      <w:r>
        <w:rPr>
          <w:rFonts w:ascii="Calibri" w:cs="Calibri" w:eastAsia="Calibri" w:hAnsi="Calibri"/>
          <w:b/>
          <w:bCs/>
          <w:color w:val="1A1A1A"/>
          <w:sz w:val="30"/>
          <w:szCs w:val="30"/>
        </w:rPr>
        <w:t xml:space="preserve">7. Make the fallback a peer, not a branch</w:t>
      </w:r>
    </w:p>
    <w:p>
      <w:pPr>
        <w:spacing w:after="160" w:line="300"/>
      </w:pPr>
      <w:r>
        <w:rPr>
          <w:rFonts w:ascii="Calibri" w:cs="Calibri" w:eastAsia="Calibri" w:hAnsi="Calibri"/>
          <w:color w:val="1A1A1A"/>
          <w:sz w:val="22"/>
          <w:szCs w:val="22"/>
        </w:rPr>
        <w:t xml:space="preserve">The path taken when the model is unavailable should be its own module with no network dependency, sitting beside the client rather than inside it. The service chooses between them.</w:t>
      </w: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try: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summary = gemini_client.write_summary(stats)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except ModelUnavailable:</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summary = offline_writer.write_summary(stats)</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    source  = f"{source}-offline"    # recorded, and shown</w:t>
      </w:r>
    </w:p>
    <w:p>
      <w:pPr>
        <w:spacing w:after="160" w:line="300"/>
      </w:pPr>
      <w:r>
        <w:rPr>
          <w:rFonts w:ascii="Calibri" w:cs="Calibri" w:eastAsia="Calibri" w:hAnsi="Calibri"/>
          <w:color w:val="1A1A1A"/>
          <w:sz w:val="22"/>
          <w:szCs w:val="22"/>
        </w:rPr>
        <w:t xml:space="preserve">Keeping it separate means the fallback cannot fail the way the thing it replaces fails — it has no HTTP call, no key, no quota. It is also independently testable, and reviewable on its own terms.</w:t>
      </w:r>
    </w:p>
    <w:p>
      <w:pPr>
        <w:pBdr>
          <w:left w:val="single" w:color="B42318" w:sz="18" w:space="10"/>
        </w:pBdr>
        <w:shd w:fill="FBF7F0" w:color="auto" w:val="clear"/>
        <w:spacing w:after="60" w:before="220"/>
        <w:ind w:left="160" w:right="160"/>
      </w:pPr>
      <w:r>
        <w:rPr>
          <w:rFonts w:ascii="Calibri" w:cs="Calibri" w:eastAsia="Calibri" w:hAnsi="Calibri"/>
          <w:b/>
          <w:bCs/>
          <w:color w:val="B42318"/>
          <w:sz w:val="17"/>
          <w:szCs w:val="17"/>
        </w:rPr>
        <w:t xml:space="preserve">RECORD THE SOURCE</w:t>
      </w:r>
    </w:p>
    <w:p>
      <w:pPr>
        <w:pBdr>
          <w:left w:val="single" w:color="B42318" w:sz="18" w:space="10"/>
        </w:pBdr>
        <w:shd w:fill="FBF7F0" w:color="auto" w:val="clear"/>
        <w:spacing w:after="220" w:line="300"/>
        <w:ind w:left="160" w:right="160"/>
      </w:pPr>
      <w:r>
        <w:rPr>
          <w:rFonts w:ascii="Calibri" w:cs="Calibri" w:eastAsia="Calibri" w:hAnsi="Calibri"/>
          <w:color w:val="1A1A1A"/>
          <w:sz w:val="21"/>
          <w:szCs w:val="21"/>
        </w:rPr>
        <w:t xml:space="preserve">Store which path produced the output, and surface it. A fallback presented as model output is a correctness problem, not a cosmetic one: users make judgements about generated text based on what they believe produced it, and in an assessed or audited system, unlabelled substitution is indefensible.</w:t>
      </w:r>
    </w:p>
    <w:p>
      <w:pPr>
        <w:pStyle w:val="Heading1"/>
        <w:spacing w:after="180" w:before="360"/>
      </w:pPr>
      <w:r>
        <w:rPr>
          <w:rFonts w:ascii="Calibri" w:cs="Calibri" w:eastAsia="Calibri" w:hAnsi="Calibri"/>
          <w:b/>
          <w:bCs/>
          <w:color w:val="1A1A1A"/>
          <w:sz w:val="30"/>
          <w:szCs w:val="30"/>
        </w:rPr>
        <w:t xml:space="preserve">8. Design the seam that makes it testable</w:t>
      </w:r>
    </w:p>
    <w:p>
      <w:pPr>
        <w:spacing w:after="160" w:line="300"/>
      </w:pPr>
      <w:r>
        <w:rPr>
          <w:rFonts w:ascii="Calibri" w:cs="Calibri" w:eastAsia="Calibri" w:hAnsi="Calibri"/>
          <w:color w:val="1A1A1A"/>
          <w:sz w:val="22"/>
          <w:szCs w:val="22"/>
        </w:rPr>
        <w:t xml:space="preserve">A test suite that needs an API key, a network connection and available quota is a test suite that will be skipped. Put a single function between the client's logic and the transport, and the whole integration becomes testable offline.</w:t>
      </w: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def _transport(prompt, model, timeout):   # the only I/O</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                                   # urllib / requests</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In tests, replace _transport - not the network, not the</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client. Retry policy, failover order, validation and</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fallback selection are then all exercised with no key,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no quota and no connection.</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monkeypatch.setattr(client, "_transport", fake)</w:t>
      </w:r>
    </w:p>
    <w:p>
      <w:pPr>
        <w:pStyle w:val="ListParagraph"/>
        <w:numPr>
          <w:ilvl w:val="0"/>
          <w:numId w:val="2"/>
        </w:numPr>
        <w:spacing w:after="100" w:line="300"/>
      </w:pPr>
      <w:r>
        <w:rPr>
          <w:rFonts w:ascii="Calibri" w:cs="Calibri" w:eastAsia="Calibri" w:hAnsi="Calibri"/>
          <w:color w:val="1A1A1A"/>
          <w:sz w:val="22"/>
          <w:szCs w:val="22"/>
        </w:rPr>
        <w:t xml:space="preserve">A busy model is skipped for the next one.</w:t>
      </w:r>
    </w:p>
    <w:p>
      <w:pPr>
        <w:pStyle w:val="ListParagraph"/>
        <w:numPr>
          <w:ilvl w:val="0"/>
          <w:numId w:val="2"/>
        </w:numPr>
        <w:spacing w:after="100" w:line="300"/>
      </w:pPr>
      <w:r>
        <w:rPr>
          <w:rFonts w:ascii="Calibri" w:cs="Calibri" w:eastAsia="Calibri" w:hAnsi="Calibri"/>
          <w:color w:val="1A1A1A"/>
          <w:sz w:val="22"/>
          <w:szCs w:val="22"/>
        </w:rPr>
        <w:t xml:space="preserve">An exhausted model is never asked twice.</w:t>
      </w:r>
    </w:p>
    <w:p>
      <w:pPr>
        <w:pStyle w:val="ListParagraph"/>
        <w:numPr>
          <w:ilvl w:val="0"/>
          <w:numId w:val="2"/>
        </w:numPr>
        <w:spacing w:after="100" w:line="300"/>
      </w:pPr>
      <w:r>
        <w:rPr>
          <w:rFonts w:ascii="Calibri" w:cs="Calibri" w:eastAsia="Calibri" w:hAnsi="Calibri"/>
          <w:color w:val="1A1A1A"/>
          <w:sz w:val="22"/>
          <w:szCs w:val="22"/>
        </w:rPr>
        <w:t xml:space="preserve">Malformed output triggers a retry, not a write.</w:t>
      </w:r>
    </w:p>
    <w:p>
      <w:pPr>
        <w:pStyle w:val="ListParagraph"/>
        <w:numPr>
          <w:ilvl w:val="0"/>
          <w:numId w:val="2"/>
        </w:numPr>
        <w:spacing w:after="100" w:line="300"/>
      </w:pPr>
      <w:r>
        <w:rPr>
          <w:rFonts w:ascii="Calibri" w:cs="Calibri" w:eastAsia="Calibri" w:hAnsi="Calibri"/>
          <w:color w:val="1A1A1A"/>
          <w:sz w:val="22"/>
          <w:szCs w:val="22"/>
        </w:rPr>
        <w:t xml:space="preserve">When every model refuses, the fallback runs and is labelled.</w:t>
      </w:r>
    </w:p>
    <w:p>
      <w:pPr>
        <w:spacing w:after="200"/>
      </w:pPr>
    </w:p>
    <w:p>
      <w:pPr>
        <w:spacing w:after="160" w:line="300"/>
      </w:pPr>
      <w:r>
        <w:rPr>
          <w:rFonts w:ascii="Calibri" w:cs="Calibri" w:eastAsia="Calibri" w:hAnsi="Calibri"/>
          <w:color w:val="1A1A1A"/>
          <w:sz w:val="22"/>
          <w:szCs w:val="22"/>
        </w:rPr>
        <w:t xml:space="preserve">Those four behaviours are the integration's real contract, and none of them can be verified against the live API on demand — you cannot ask a provider to be overloaded while you watch. The seam is what makes them testable at all.</w:t>
      </w:r>
    </w:p>
    <w:p>
      <w:pPr>
        <w:pStyle w:val="Heading1"/>
        <w:spacing w:after="180" w:before="360"/>
      </w:pPr>
      <w:r>
        <w:rPr>
          <w:rFonts w:ascii="Calibri" w:cs="Calibri" w:eastAsia="Calibri" w:hAnsi="Calibri"/>
          <w:b/>
          <w:bCs/>
          <w:color w:val="1A1A1A"/>
          <w:sz w:val="30"/>
          <w:szCs w:val="30"/>
        </w:rPr>
        <w:t xml:space="preserve">9. Log at the boundary, never the payload</w:t>
      </w:r>
    </w:p>
    <w:p>
      <w:pPr>
        <w:spacing w:after="160" w:line="300"/>
      </w:pPr>
      <w:r>
        <w:rPr>
          <w:rFonts w:ascii="Calibri" w:cs="Calibri" w:eastAsia="Calibri" w:hAnsi="Calibri"/>
          <w:color w:val="1A1A1A"/>
          <w:sz w:val="22"/>
          <w:szCs w:val="22"/>
        </w:rPr>
        <w:t xml:space="preserve">The client is the right place to log, because it is the only component that knows which model answered and on which attempt. Log the shape of the call, never its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3326"/>
      </w:tblGrid>
      <w:tr>
        <w:trPr>
          <w:tblHeader/>
        </w:trPr>
        <w:tc>
          <w:tcPr>
            <w:tcW w:type="dxa" w:w="4400"/>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FIELD</w:t>
            </w:r>
          </w:p>
        </w:tc>
        <w:tc>
          <w:tcPr>
            <w:tcW w:type="dxa" w:w="1300"/>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LOG IT</w:t>
            </w:r>
          </w:p>
        </w:tc>
        <w:tc>
          <w:tcPr>
            <w:tcW w:type="dxa" w:w="3326"/>
            <w:tcBorders>
              <w:top w:val="none"/>
              <w:left w:val="none"/>
              <w:bottom w:val="single" w:color="1A1A1A" w:sz="8"/>
              <w:right w:val="none"/>
            </w:tcBorders>
            <w:tcMar>
              <w:top w:type="dxa" w:w="60"/>
              <w:left w:type="dxa" w:w="100"/>
              <w:bottom w:type="dxa" w:w="80"/>
              <w:right w:type="dxa" w:w="100"/>
            </w:tcMar>
          </w:tcPr>
          <w:p>
            <w:r>
              <w:rPr>
                <w:rFonts w:ascii="Calibri" w:cs="Calibri" w:eastAsia="Calibri" w:hAnsi="Calibri"/>
                <w:b/>
                <w:bCs/>
                <w:color w:val="5E6B6B"/>
                <w:sz w:val="16"/>
                <w:szCs w:val="16"/>
              </w:rPr>
              <w:t xml:space="preserve">REASON</w:t>
            </w:r>
          </w:p>
        </w:tc>
      </w:tr>
      <w:tr>
        <w:tc>
          <w:tcPr>
            <w:tcW w:type="dxa" w:w="44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Model name and attempt number</w:t>
            </w:r>
          </w:p>
        </w:tc>
        <w:tc>
          <w:tcPr>
            <w:tcW w:type="dxa" w:w="13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067647"/>
                <w:sz w:val="20"/>
                <w:szCs w:val="20"/>
              </w:rPr>
              <w:t xml:space="preserve">Yes</w:t>
            </w:r>
          </w:p>
        </w:tc>
        <w:tc>
          <w:tcPr>
            <w:tcW w:type="dxa" w:w="33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The first thing you need when diagnosing</w:t>
            </w:r>
          </w:p>
        </w:tc>
      </w:tr>
      <w:tr>
        <w:tc>
          <w:tcPr>
            <w:tcW w:type="dxa" w:w="44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HTTP status and outcome</w:t>
            </w:r>
          </w:p>
        </w:tc>
        <w:tc>
          <w:tcPr>
            <w:tcW w:type="dxa" w:w="13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067647"/>
                <w:sz w:val="20"/>
                <w:szCs w:val="20"/>
              </w:rPr>
              <w:t xml:space="preserve">Yes</w:t>
            </w:r>
          </w:p>
        </w:tc>
        <w:tc>
          <w:tcPr>
            <w:tcW w:type="dxa" w:w="33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Distinguishes quota from overload</w:t>
            </w:r>
          </w:p>
        </w:tc>
      </w:tr>
      <w:tr>
        <w:tc>
          <w:tcPr>
            <w:tcW w:type="dxa" w:w="44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Duration</w:t>
            </w:r>
          </w:p>
        </w:tc>
        <w:tc>
          <w:tcPr>
            <w:tcW w:type="dxa" w:w="13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067647"/>
                <w:sz w:val="20"/>
                <w:szCs w:val="20"/>
              </w:rPr>
              <w:t xml:space="preserve">Yes</w:t>
            </w:r>
          </w:p>
        </w:tc>
        <w:tc>
          <w:tcPr>
            <w:tcW w:type="dxa" w:w="33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Shows whether timeouts are self-inflicted</w:t>
            </w:r>
          </w:p>
        </w:tc>
      </w:tr>
      <w:tr>
        <w:tc>
          <w:tcPr>
            <w:tcW w:type="dxa" w:w="44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Prompt or user text</w:t>
            </w:r>
          </w:p>
        </w:tc>
        <w:tc>
          <w:tcPr>
            <w:tcW w:type="dxa" w:w="13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B42318"/>
                <w:sz w:val="20"/>
                <w:szCs w:val="20"/>
              </w:rPr>
              <w:t xml:space="preserve">Never</w:t>
            </w:r>
          </w:p>
        </w:tc>
        <w:tc>
          <w:tcPr>
            <w:tcW w:type="dxa" w:w="33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Logs are read widely, kept long, exported often</w:t>
            </w:r>
          </w:p>
        </w:tc>
      </w:tr>
      <w:tr>
        <w:tc>
          <w:tcPr>
            <w:tcW w:type="dxa" w:w="44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API key</w:t>
            </w:r>
          </w:p>
        </w:tc>
        <w:tc>
          <w:tcPr>
            <w:tcW w:type="dxa" w:w="1300"/>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bCs/>
                <w:color w:val="B42318"/>
                <w:sz w:val="20"/>
                <w:szCs w:val="20"/>
              </w:rPr>
              <w:t xml:space="preserve">Never</w:t>
            </w:r>
          </w:p>
        </w:tc>
        <w:tc>
          <w:tcPr>
            <w:tcW w:type="dxa" w:w="3326"/>
            <w:tcBorders>
              <w:top w:val="none"/>
              <w:left w:val="none"/>
              <w:bottom w:val="single" w:color="D6DCDB" w:sz="2"/>
              <w:right w:val="none"/>
            </w:tcBorders>
            <w:tcMar>
              <w:top w:type="dxa" w:w="80"/>
              <w:left w:type="dxa" w:w="100"/>
              <w:bottom w:type="dxa" w:w="80"/>
              <w:right w:type="dxa" w:w="100"/>
            </w:tcMar>
          </w:tcPr>
          <w:p>
            <w:pPr>
              <w:spacing w:line="250"/>
            </w:pPr>
            <w:r>
              <w:rPr>
                <w:rFonts w:ascii="Calibri" w:cs="Calibri" w:eastAsia="Calibri" w:hAnsi="Calibri"/>
                <w:b w:val="false"/>
                <w:bCs w:val="false"/>
                <w:color w:val="1A1A1A"/>
                <w:sz w:val="20"/>
                <w:szCs w:val="20"/>
              </w:rPr>
              <w:t xml:space="preserve">Including inside error bodies you echo</w:t>
            </w:r>
          </w:p>
        </w:tc>
      </w:tr>
    </w:tbl>
    <w:p>
      <w:pPr>
        <w:spacing w:after="200"/>
      </w:pPr>
    </w:p>
    <w:p>
      <w:pPr>
        <w:spacing w:after="160" w:line="300"/>
      </w:pPr>
      <w:r>
        <w:rPr>
          <w:rFonts w:ascii="Calibri" w:cs="Calibri" w:eastAsia="Calibri" w:hAnsi="Calibri"/>
          <w:color w:val="1A1A1A"/>
          <w:sz w:val="22"/>
          <w:szCs w:val="22"/>
        </w:rPr>
        <w:t xml:space="preserve">Log a length or a hash where you are tempted to log content. When an entry misbehaves weeks later, knowing it was 96 characters and went to the second model on the third attempt is almost always enough.</w:t>
      </w:r>
    </w:p>
    <w:p>
      <w:pPr>
        <w:pStyle w:val="Heading1"/>
        <w:spacing w:after="180" w:before="360"/>
      </w:pPr>
      <w:r>
        <w:rPr>
          <w:rFonts w:ascii="Calibri" w:cs="Calibri" w:eastAsia="Calibri" w:hAnsi="Calibri"/>
          <w:b/>
          <w:bCs/>
          <w:color w:val="1A1A1A"/>
          <w:sz w:val="30"/>
          <w:szCs w:val="30"/>
        </w:rPr>
        <w:t xml:space="preserve">10. The call path, end to end</w:t>
      </w:r>
    </w:p>
    <w:p>
      <w:pPr>
        <w:pBdr>
          <w:top w:val="single" w:color="D6DCDB" w:sz="2" w:space="4"/>
          <w:left w:val="single" w:color="0B6E5F" w:sz="12" w:space="8"/>
        </w:pBdr>
        <w:shd w:fill="F2F5F4" w:color="auto" w:val="clear"/>
        <w:spacing w:after="0" w:before="120" w:line="250"/>
        <w:ind w:left="200" w:right="200"/>
      </w:pPr>
      <w:r>
        <w:rPr>
          <w:rFonts w:ascii="Consolas" w:cs="Consolas" w:eastAsia="Consolas" w:hAnsi="Consolas"/>
          <w:color w:val="1A1A1A"/>
          <w:sz w:val="17"/>
          <w:szCs w:val="17"/>
        </w:rPr>
        <w:t xml:space="preserve">API Gateway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-&gt; handler            parse request, resolve identity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-&gt; service         decide what should happen</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-&gt; client       prompt, call, validate, retry</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-&gt; HTTPS     the model provider</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-&gt; fallback     when the client gives up</w:t>
      </w:r>
    </w:p>
    <w:p>
      <w:pPr>
        <w:pBdr>
          <w:left w:val="single" w:color="0B6E5F" w:sz="12" w:space="8"/>
        </w:pBdr>
        <w:shd w:fill="F2F5F4" w:color="auto" w:val="clear"/>
        <w:spacing w:after="0" w:before="0" w:line="250"/>
        <w:ind w:left="200" w:right="200"/>
      </w:pPr>
      <w:r>
        <w:rPr>
          <w:rFonts w:ascii="Consolas" w:cs="Consolas" w:eastAsia="Consolas" w:hAnsi="Consolas"/>
          <w:color w:val="1A1A1A"/>
          <w:sz w:val="17"/>
          <w:szCs w:val="17"/>
        </w:rPr>
        <w:t xml:space="preserve">     -&gt; repository      persist the result + its source</w:t>
      </w:r>
    </w:p>
    <w:p>
      <w:pPr>
        <w:pBdr>
          <w:bottom w:val="single" w:color="D6DCDB" w:sz="2" w:space="4"/>
          <w:left w:val="single" w:color="0B6E5F" w:sz="12" w:space="8"/>
        </w:pBdr>
        <w:shd w:fill="F2F5F4" w:color="auto" w:val="clear"/>
        <w:spacing w:after="200" w:before="0" w:line="250"/>
        <w:ind w:left="200" w:right="200"/>
      </w:pPr>
      <w:r>
        <w:rPr>
          <w:rFonts w:ascii="Consolas" w:cs="Consolas" w:eastAsia="Consolas" w:hAnsi="Consolas"/>
          <w:color w:val="1A1A1A"/>
          <w:sz w:val="17"/>
          <w:szCs w:val="17"/>
        </w:rPr>
        <w:t xml:space="preserve">  &lt;- handler            serialise response</w:t>
      </w:r>
    </w:p>
    <w:p>
      <w:pPr>
        <w:spacing w:after="160" w:line="300"/>
      </w:pPr>
      <w:r>
        <w:rPr>
          <w:rFonts w:ascii="Calibri" w:cs="Calibri" w:eastAsia="Calibri" w:hAnsi="Calibri"/>
          <w:color w:val="1A1A1A"/>
          <w:sz w:val="22"/>
          <w:szCs w:val="22"/>
        </w:rPr>
        <w:t xml:space="preserve">Each arrow crosses a boundary that can be tested independently, and only one of them leaves your infrastructure. That is the whole point of the arrangement: the unreliable hop is a single, isolated, substitutable edge, and every layer above it has a defined behaviour for the moment it fails.</w:t>
      </w:r>
    </w:p>
    <w:p>
      <w:pPr>
        <w:pBdr>
          <w:top w:val="single" w:color="D6DCDB" w:sz="4" w:space="12"/>
        </w:pBdr>
        <w:spacing w:before="320"/>
      </w:pPr>
      <w:r>
        <w:rPr>
          <w:rFonts w:ascii="Calibri" w:cs="Calibri" w:eastAsia="Calibri" w:hAnsi="Calibri"/>
          <w:i/>
          <w:iCs/>
          <w:color w:val="5E6B6B"/>
          <w:sz w:val="18"/>
          <w:szCs w:val="18"/>
        </w:rPr>
        <w:t xml:space="preserve">Written against the Gemini REST API on v1beta and AWS SAM, but the structure is provider-agnostic: the same boundaries apply to any hosted model behind an HTTP call.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Gemini Integration Architecture</dc:title>
  <dc:creator>Architecture notes</dc:creator>
  <dc:description>How to structure a Gemini integration: component boundaries, configuration flow, function wiring and failure isolation.</dc:description>
  <cp:lastModifiedBy>Un-named</cp:lastModifiedBy>
  <cp:revision>1</cp:revision>
  <dcterms:created xsi:type="dcterms:W3CDTF">2026-09-12T04:57:44.271Z</dcterms:created>
  <dcterms:modified xsi:type="dcterms:W3CDTF">2026-09-12T04:57:44.272Z</dcterms:modified>
</cp:coreProperties>
</file>

<file path=docProps/custom.xml><?xml version="1.0" encoding="utf-8"?>
<Properties xmlns="http://schemas.openxmlformats.org/officeDocument/2006/custom-properties" xmlns:vt="http://schemas.openxmlformats.org/officeDocument/2006/docPropsVTypes"/>
</file>