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9B1" w:rsidRDefault="002B2E3D">
      <w:pPr>
        <w:spacing w:after="60"/>
      </w:pPr>
      <w:r>
        <mc:AlternateContent>
          <mc:Choice Requires="wps">
            <w:drawing>
              <wp:anchor distT="0" distB="0" distL="114300" distR="114300" simplePos="0" relativeHeight="251659264" behindDoc="0" locked="0" layoutInCell="1" allowOverlap="1" wp14:anchorId="5D295FBA" wp14:editId="174A4A0D">
                <wp:simplePos x="0" y="0"/>
                <wp:positionH relativeFrom="margin">
                  <wp:posOffset>3312160</wp:posOffset>
                </wp:positionH>
                <wp:positionV relativeFrom="paragraph">
                  <wp:posOffset>-2540</wp:posOffset>
                </wp:positionV>
                <wp:extent cx="2792095" cy="666750"/>
                <wp:effectExtent l="0" t="0" r="8255" b="0"/>
                <wp:wrapNone/>
                <wp:docPr id="6" name="Freeform 6"/>
                <wp:cNvGraphicFramePr/>
                <a:graphic xmlns:a="http://schemas.openxmlformats.org/drawingml/2006/main">
                  <a:graphicData uri="http://schemas.microsoft.com/office/word/2010/wordprocessingShape">
                    <wps:wsp>
                      <wps:cNvSpPr/>
                      <wps:spPr>
                        <a:xfrm>
                          <a:off x="0" y="0"/>
                          <a:ext cx="2792095" cy="666750"/>
                        </a:xfrm>
                        <a:custGeom>
                          <a:avLst/>
                          <a:gdLst/>
                          <a:ahLst/>
                          <a:cxnLst/>
                          <a:rect l="l" t="t" r="r" b="b"/>
                          <a:pathLst>
                            <a:path w="5110361" h="1694696">
                              <a:moveTo>
                                <a:pt x="0" y="0"/>
                              </a:moveTo>
                              <a:lnTo>
                                <a:pt x="5110362" y="0"/>
                              </a:lnTo>
                              <a:lnTo>
                                <a:pt x="5110362" y="1694695"/>
                              </a:lnTo>
                              <a:lnTo>
                                <a:pt x="0" y="1694695"/>
                              </a:lnTo>
                              <a:lnTo>
                                <a:pt x="0" y="0"/>
                              </a:lnTo>
                              <a:close/>
                            </a:path>
                          </a:pathLst>
                        </a:custGeom>
                        <a:blipFill>
                          <a:blip r:embed="rId7"/>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9AF7E00" id="Freeform 6" o:spid="_x0000_s1026" style="position:absolute;margin-left:260.8pt;margin-top:-.2pt;width:219.85pt;height: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110361,1694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" path="m,l5110362,r,1694695l,1694695,,xe" stroked="f">
                <v:fill r:id="rId8" o:title="" recolor="t" rotate="t" type="frame"/>
                <v:stroke joinstyle="miter" endcap="square"/>
                <v:path arrowok="t"/>
                <w10:wrap anchorx="margin"/>
              </v:shape>
            </w:pict>
          </mc:Fallback>
        </mc:AlternateContent>
      </w:r>
    </w:p>
    <w:p w:rsidR="006529B1" w:rsidRDefault="006529B1">
      <w:pPr>
        <w:spacing w:after="60"/>
      </w:pPr>
    </w:p>
    <w:p w:rsidR="006529B1" w:rsidRDefault="006529B1">
      <w:pPr>
        <w:spacing w:after="60"/>
      </w:pPr>
    </w:p>
    <w:p w:rsidR="002B2E3D" w:rsidRDefault="002B2E3D">
      <w:pPr>
        <w:spacing w:after="120"/>
        <w:jc w:val="center"/>
        <w:rPr>
          <w:i/>
          <w:iCs/>
          <w:color w:val="555555"/>
        </w:rPr>
      </w:pPr>
    </w:p>
    <w:p w:rsidR="002B2E3D" w:rsidRDefault="002B2E3D">
      <w:pPr>
        <w:spacing w:after="120"/>
        <w:jc w:val="center"/>
        <w:rPr>
          <w:i/>
          <w:iCs/>
          <w:color w:val="555555"/>
        </w:rPr>
      </w:pPr>
    </w:p>
    <w:p w:rsidR="006529B1" w:rsidRDefault="00FD12E1">
      <w:pPr>
        <w:spacing w:after="120"/>
        <w:jc w:val="center"/>
      </w:pPr>
      <w:r>
        <w:rPr>
          <w:i/>
          <w:iCs/>
          <w:color w:val="555555"/>
        </w:rPr>
        <w:t>Mini-Projet Machine Learning</w:t>
      </w:r>
    </w:p>
    <w:p w:rsidR="006529B1" w:rsidRDefault="00FD12E1">
      <w:pPr>
        <w:spacing w:after="160"/>
        <w:jc w:val="center"/>
      </w:pPr>
      <w:r>
        <w:rPr>
          <w:b/>
          <w:bCs/>
          <w:color w:val="1A6FA0"/>
          <w:sz w:val="52"/>
          <w:szCs w:val="52"/>
        </w:rPr>
        <w:t>Prédiction du Churn Client</w:t>
      </w:r>
    </w:p>
    <w:p w:rsidR="006529B1" w:rsidRPr="002B2E3D" w:rsidRDefault="00FD12E1">
      <w:pPr>
        <w:spacing w:after="400"/>
        <w:jc w:val="center"/>
        <w:rPr>
          <w:lang w:val="en-US"/>
        </w:rPr>
      </w:pPr>
      <w:r w:rsidRPr="002B2E3D">
        <w:rPr>
          <w:b/>
          <w:bCs/>
          <w:color w:val="27AE60"/>
          <w:sz w:val="28"/>
          <w:szCs w:val="28"/>
          <w:lang w:val="en-US"/>
        </w:rPr>
        <w:t>Telco Customer Churn Dataset  —  IBM / Kaggle</w:t>
      </w:r>
    </w:p>
    <w:p w:rsidR="006529B1" w:rsidRDefault="00FD12E1">
      <w:pPr>
        <w:pBdr>
          <w:top w:val="single" w:sz="8" w:space="8" w:color="1A6FA0"/>
          <w:bottom w:val="single" w:sz="8" w:space="8" w:color="1A6FA0"/>
        </w:pBdr>
        <w:spacing w:before="200" w:after="200"/>
        <w:jc w:val="center"/>
      </w:pPr>
      <w:r>
        <w:rPr>
          <w:color w:val="1A6FA0"/>
        </w:rPr>
        <w:t>Classification binaire  |  SMOTE  |  Random Forest  |  Gradient Boosting</w:t>
      </w:r>
    </w:p>
    <w:p w:rsidR="006529B1" w:rsidRDefault="006529B1">
      <w:pPr>
        <w:spacing w:after="60"/>
      </w:pPr>
    </w:p>
    <w:p w:rsidR="006529B1" w:rsidRDefault="006529B1">
      <w:pPr>
        <w:spacing w:after="60"/>
      </w:pPr>
    </w:p>
    <w:p w:rsidR="006529B1" w:rsidRDefault="00FD12E1" w:rsidP="002B2E3D">
      <w:pPr>
        <w:spacing w:after="100"/>
        <w:jc w:val="center"/>
      </w:pPr>
      <w:r>
        <w:rPr>
          <w:b/>
          <w:bCs/>
        </w:rPr>
        <w:t xml:space="preserve">Étudiant(s) : </w:t>
      </w:r>
      <w:r w:rsidR="002B2E3D">
        <w:rPr>
          <w:color w:val="555555"/>
        </w:rPr>
        <w:t>Omar Boussiline</w:t>
      </w:r>
    </w:p>
    <w:p w:rsidR="006529B1" w:rsidRDefault="002B2E3D">
      <w:pPr>
        <w:spacing w:after="400"/>
        <w:jc w:val="center"/>
      </w:pPr>
      <w:r>
        <w:rPr>
          <w:color w:val="555555"/>
        </w:rPr>
        <w:t>Année universitaire 2025–2026</w:t>
      </w:r>
      <w:bookmarkStart w:id="0" w:name="_GoBack"/>
      <w:bookmarkEnd w:id="0"/>
    </w:p>
    <w:p w:rsidR="006529B1" w:rsidRDefault="00FD12E1">
      <w:r>
        <w:br w:type="page"/>
      </w:r>
    </w:p>
    <w:p w:rsidR="002B2E3D" w:rsidRDefault="00FD12E1" w:rsidP="002B2E3D">
      <w:pPr>
        <w:pStyle w:val="Titre1"/>
        <w:pBdr>
          <w:bottom w:val="single" w:sz="6" w:space="4" w:color="1A6FA0"/>
        </w:pBdr>
        <w:tabs>
          <w:tab w:val="center" w:pos="4819"/>
        </w:tabs>
      </w:pPr>
      <w:r>
        <w:lastRenderedPageBreak/>
        <w:t>Résumé exécutif</w:t>
      </w:r>
      <w:r w:rsidR="002B2E3D">
        <w:tab/>
      </w:r>
    </w:p>
    <w:p w:rsidR="006529B1" w:rsidRDefault="00FD12E1" w:rsidP="002B2E3D">
      <w:pPr>
        <w:pStyle w:val="Titre1"/>
        <w:pBdr>
          <w:bottom w:val="single" w:sz="6" w:space="4" w:color="1A6FA0"/>
        </w:pBdr>
        <w:tabs>
          <w:tab w:val="center" w:pos="4819"/>
        </w:tabs>
      </w:pPr>
      <w:r>
        <w:rPr>
          <w:color w:val="333333"/>
          <w:sz w:val="22"/>
          <w:szCs w:val="22"/>
        </w:rPr>
        <w:t xml:space="preserve">Ce projet construit un système de détection précoce du </w:t>
      </w:r>
      <w:proofErr w:type="spellStart"/>
      <w:r>
        <w:rPr>
          <w:color w:val="333333"/>
          <w:sz w:val="22"/>
          <w:szCs w:val="22"/>
        </w:rPr>
        <w:t>churn</w:t>
      </w:r>
      <w:proofErr w:type="spellEnd"/>
      <w:r>
        <w:rPr>
          <w:color w:val="333333"/>
          <w:sz w:val="22"/>
          <w:szCs w:val="22"/>
        </w:rPr>
        <w:t xml:space="preserve"> pour un opérateur télécom. Sur le </w:t>
      </w:r>
      <w:proofErr w:type="spellStart"/>
      <w:r>
        <w:rPr>
          <w:color w:val="333333"/>
          <w:sz w:val="22"/>
          <w:szCs w:val="22"/>
        </w:rPr>
        <w:t>dataset</w:t>
      </w:r>
      <w:proofErr w:type="spellEnd"/>
      <w:r>
        <w:rPr>
          <w:color w:val="333333"/>
          <w:sz w:val="22"/>
          <w:szCs w:val="22"/>
        </w:rPr>
        <w:t xml:space="preserve"> </w:t>
      </w:r>
      <w:proofErr w:type="spellStart"/>
      <w:r>
        <w:rPr>
          <w:color w:val="333333"/>
          <w:sz w:val="22"/>
          <w:szCs w:val="22"/>
        </w:rPr>
        <w:t>Telco</w:t>
      </w:r>
      <w:proofErr w:type="spellEnd"/>
      <w:r>
        <w:rPr>
          <w:color w:val="333333"/>
          <w:sz w:val="22"/>
          <w:szCs w:val="22"/>
        </w:rPr>
        <w:t xml:space="preserve"> Customer </w:t>
      </w:r>
      <w:proofErr w:type="spellStart"/>
      <w:r>
        <w:rPr>
          <w:color w:val="333333"/>
          <w:sz w:val="22"/>
          <w:szCs w:val="22"/>
        </w:rPr>
        <w:t>Churn</w:t>
      </w:r>
      <w:proofErr w:type="spellEnd"/>
      <w:r>
        <w:rPr>
          <w:color w:val="333333"/>
          <w:sz w:val="22"/>
          <w:szCs w:val="22"/>
        </w:rPr>
        <w:t xml:space="preserve"> (IBM, 7 043 clients, 20 variables), trois </w:t>
      </w:r>
      <w:proofErr w:type="spellStart"/>
      <w:r>
        <w:rPr>
          <w:color w:val="333333"/>
          <w:sz w:val="22"/>
          <w:szCs w:val="22"/>
        </w:rPr>
        <w:t>classifieurs</w:t>
      </w:r>
      <w:proofErr w:type="spellEnd"/>
      <w:r>
        <w:rPr>
          <w:color w:val="333333"/>
          <w:sz w:val="22"/>
          <w:szCs w:val="22"/>
        </w:rPr>
        <w:t xml:space="preserve"> binaires ont été entraînés et comparés après traitement du d</w:t>
      </w:r>
      <w:r>
        <w:rPr>
          <w:color w:val="333333"/>
          <w:sz w:val="22"/>
          <w:szCs w:val="22"/>
        </w:rPr>
        <w:t xml:space="preserve">éséquilibre de classes par SMOTE. Le modèle Gradient </w:t>
      </w:r>
      <w:proofErr w:type="spellStart"/>
      <w:r>
        <w:rPr>
          <w:color w:val="333333"/>
          <w:sz w:val="22"/>
          <w:szCs w:val="22"/>
        </w:rPr>
        <w:t>Boosting</w:t>
      </w:r>
      <w:proofErr w:type="spellEnd"/>
      <w:r>
        <w:rPr>
          <w:color w:val="333333"/>
          <w:sz w:val="22"/>
          <w:szCs w:val="22"/>
        </w:rPr>
        <w:t xml:space="preserve"> obtient les meilleures performances (AUC-ROC ≈ 0.88, F1 ≈ 0.65). Une interface interactive </w:t>
      </w:r>
      <w:proofErr w:type="spellStart"/>
      <w:r>
        <w:rPr>
          <w:color w:val="333333"/>
          <w:sz w:val="22"/>
          <w:szCs w:val="22"/>
        </w:rPr>
        <w:t>Jupyter</w:t>
      </w:r>
      <w:proofErr w:type="spellEnd"/>
      <w:r>
        <w:rPr>
          <w:color w:val="333333"/>
          <w:sz w:val="22"/>
          <w:szCs w:val="22"/>
        </w:rPr>
        <w:t xml:space="preserve"> permet de prédire en temps réel la probabilité de </w:t>
      </w:r>
      <w:proofErr w:type="spellStart"/>
      <w:r>
        <w:rPr>
          <w:color w:val="333333"/>
          <w:sz w:val="22"/>
          <w:szCs w:val="22"/>
        </w:rPr>
        <w:t>churn</w:t>
      </w:r>
      <w:proofErr w:type="spellEnd"/>
      <w:r>
        <w:rPr>
          <w:color w:val="333333"/>
          <w:sz w:val="22"/>
          <w:szCs w:val="22"/>
        </w:rPr>
        <w:t xml:space="preserve"> d'un client à partir de son profil cont</w:t>
      </w:r>
      <w:r>
        <w:rPr>
          <w:color w:val="333333"/>
          <w:sz w:val="22"/>
          <w:szCs w:val="22"/>
        </w:rPr>
        <w:t>ractuel.</w:t>
      </w:r>
    </w:p>
    <w:p w:rsidR="002B2E3D" w:rsidRDefault="00FD12E1" w:rsidP="002B2E3D">
      <w:pPr>
        <w:pStyle w:val="Titre1"/>
        <w:pBdr>
          <w:bottom w:val="single" w:sz="6" w:space="4" w:color="1A6FA0"/>
        </w:pBdr>
      </w:pPr>
      <w:r>
        <w:t>1. Contexte et Objectifs</w:t>
      </w:r>
    </w:p>
    <w:p w:rsidR="002B2E3D" w:rsidRDefault="00FD12E1" w:rsidP="002B2E3D">
      <w:pPr>
        <w:pStyle w:val="Titre1"/>
        <w:pBdr>
          <w:bottom w:val="single" w:sz="6" w:space="4" w:color="1A6FA0"/>
        </w:pBdr>
        <w:rPr>
          <w:color w:val="27AE60"/>
          <w:sz w:val="26"/>
          <w:szCs w:val="26"/>
        </w:rPr>
      </w:pPr>
      <w:r>
        <w:rPr>
          <w:color w:val="27AE60"/>
          <w:sz w:val="26"/>
          <w:szCs w:val="26"/>
        </w:rPr>
        <w:t>1.1  Problématique métier</w:t>
      </w:r>
    </w:p>
    <w:p w:rsidR="002B2E3D" w:rsidRDefault="00FD12E1" w:rsidP="002B2E3D">
      <w:pPr>
        <w:pStyle w:val="Titre1"/>
        <w:pBdr>
          <w:bottom w:val="single" w:sz="6" w:space="4" w:color="1A6FA0"/>
        </w:pBdr>
        <w:rPr>
          <w:color w:val="333333"/>
          <w:sz w:val="22"/>
          <w:szCs w:val="22"/>
        </w:rPr>
      </w:pPr>
      <w:r>
        <w:rPr>
          <w:color w:val="333333"/>
          <w:sz w:val="22"/>
          <w:szCs w:val="22"/>
        </w:rPr>
        <w:t xml:space="preserve">Le </w:t>
      </w:r>
      <w:proofErr w:type="spellStart"/>
      <w:r>
        <w:rPr>
          <w:color w:val="333333"/>
          <w:sz w:val="22"/>
          <w:szCs w:val="22"/>
        </w:rPr>
        <w:t>churn</w:t>
      </w:r>
      <w:proofErr w:type="spellEnd"/>
      <w:r>
        <w:rPr>
          <w:color w:val="333333"/>
          <w:sz w:val="22"/>
          <w:szCs w:val="22"/>
        </w:rPr>
        <w:t xml:space="preserve"> désigne la résiliation volontaire d'un abonnement par un client. Dans le secteur des télécommunications, le taux de </w:t>
      </w:r>
      <w:proofErr w:type="spellStart"/>
      <w:r>
        <w:rPr>
          <w:color w:val="333333"/>
          <w:sz w:val="22"/>
          <w:szCs w:val="22"/>
        </w:rPr>
        <w:t>churn</w:t>
      </w:r>
      <w:proofErr w:type="spellEnd"/>
      <w:r>
        <w:rPr>
          <w:color w:val="333333"/>
          <w:sz w:val="22"/>
          <w:szCs w:val="22"/>
        </w:rPr>
        <w:t xml:space="preserve"> annuel oscille entre 15% et 25%. Retenir un client existant coût</w:t>
      </w:r>
      <w:r>
        <w:rPr>
          <w:color w:val="333333"/>
          <w:sz w:val="22"/>
          <w:szCs w:val="22"/>
        </w:rPr>
        <w:t xml:space="preserve">e en moyenne cinq fois moins cher qu'en acquérir un nouveau. La prédiction précoce du </w:t>
      </w:r>
      <w:proofErr w:type="spellStart"/>
      <w:r>
        <w:rPr>
          <w:color w:val="333333"/>
          <w:sz w:val="22"/>
          <w:szCs w:val="22"/>
        </w:rPr>
        <w:t>churn</w:t>
      </w:r>
      <w:proofErr w:type="spellEnd"/>
      <w:r>
        <w:rPr>
          <w:color w:val="333333"/>
          <w:sz w:val="22"/>
          <w:szCs w:val="22"/>
        </w:rPr>
        <w:t xml:space="preserve"> permet aux équipes commerciales de déployer des actions de rétention ciblées avant la résiliation effective.</w:t>
      </w:r>
    </w:p>
    <w:p w:rsidR="002B2E3D" w:rsidRDefault="00FD12E1" w:rsidP="002B2E3D">
      <w:pPr>
        <w:pStyle w:val="Titre1"/>
        <w:pBdr>
          <w:bottom w:val="single" w:sz="6" w:space="4" w:color="1A6FA0"/>
        </w:pBdr>
        <w:rPr>
          <w:color w:val="27AE60"/>
          <w:sz w:val="26"/>
          <w:szCs w:val="26"/>
        </w:rPr>
      </w:pPr>
      <w:r>
        <w:rPr>
          <w:color w:val="27AE60"/>
          <w:sz w:val="26"/>
          <w:szCs w:val="26"/>
        </w:rPr>
        <w:t xml:space="preserve">1.2 </w:t>
      </w:r>
      <w:r>
        <w:rPr>
          <w:color w:val="27AE60"/>
          <w:sz w:val="26"/>
          <w:szCs w:val="26"/>
        </w:rPr>
        <w:t xml:space="preserve"> </w:t>
      </w:r>
      <w:proofErr w:type="spellStart"/>
      <w:r>
        <w:rPr>
          <w:color w:val="27AE60"/>
          <w:sz w:val="26"/>
          <w:szCs w:val="26"/>
        </w:rPr>
        <w:t>Dataset</w:t>
      </w:r>
      <w:proofErr w:type="spellEnd"/>
    </w:p>
    <w:p w:rsidR="006529B1" w:rsidRDefault="00FD12E1" w:rsidP="002B2E3D">
      <w:pPr>
        <w:pStyle w:val="Titre1"/>
        <w:pBdr>
          <w:bottom w:val="single" w:sz="6" w:space="4" w:color="1A6FA0"/>
        </w:pBdr>
      </w:pPr>
      <w:r>
        <w:rPr>
          <w:color w:val="333333"/>
          <w:sz w:val="22"/>
          <w:szCs w:val="22"/>
        </w:rPr>
        <w:t xml:space="preserve">Le </w:t>
      </w:r>
      <w:proofErr w:type="spellStart"/>
      <w:r>
        <w:rPr>
          <w:color w:val="333333"/>
          <w:sz w:val="22"/>
          <w:szCs w:val="22"/>
        </w:rPr>
        <w:t>dataset</w:t>
      </w:r>
      <w:proofErr w:type="spellEnd"/>
      <w:r>
        <w:rPr>
          <w:color w:val="333333"/>
          <w:sz w:val="22"/>
          <w:szCs w:val="22"/>
        </w:rPr>
        <w:t xml:space="preserve"> IBM </w:t>
      </w:r>
      <w:proofErr w:type="spellStart"/>
      <w:r>
        <w:rPr>
          <w:color w:val="333333"/>
          <w:sz w:val="22"/>
          <w:szCs w:val="22"/>
        </w:rPr>
        <w:t>Telco</w:t>
      </w:r>
      <w:proofErr w:type="spellEnd"/>
      <w:r>
        <w:rPr>
          <w:color w:val="333333"/>
          <w:sz w:val="22"/>
          <w:szCs w:val="22"/>
        </w:rPr>
        <w:t xml:space="preserve"> Customer </w:t>
      </w:r>
      <w:proofErr w:type="spellStart"/>
      <w:r>
        <w:rPr>
          <w:color w:val="333333"/>
          <w:sz w:val="22"/>
          <w:szCs w:val="22"/>
        </w:rPr>
        <w:t>Churn</w:t>
      </w:r>
      <w:proofErr w:type="spellEnd"/>
      <w:r>
        <w:rPr>
          <w:color w:val="333333"/>
          <w:sz w:val="22"/>
          <w:szCs w:val="22"/>
        </w:rPr>
        <w:t xml:space="preserve"> décrit 7 043 clients avec 20 variables couvrant quatre domaines :</w:t>
      </w:r>
    </w:p>
    <w:p w:rsidR="006529B1" w:rsidRDefault="00FD12E1" w:rsidP="002B2E3D">
      <w:pPr>
        <w:spacing w:after="80"/>
      </w:pPr>
      <w:r w:rsidRPr="002B2E3D">
        <w:rPr>
          <w:b/>
          <w:bCs/>
        </w:rPr>
        <w:t xml:space="preserve">Données démographiques : </w:t>
      </w:r>
      <w:r>
        <w:t>genre, statut senior, partenaire, personnes à charge</w:t>
      </w:r>
    </w:p>
    <w:p w:rsidR="006529B1" w:rsidRDefault="00FD12E1">
      <w:pPr>
        <w:pStyle w:val="Paragraphedeliste"/>
        <w:numPr>
          <w:ilvl w:val="0"/>
          <w:numId w:val="2"/>
        </w:numPr>
        <w:spacing w:after="80"/>
      </w:pPr>
      <w:r>
        <w:rPr>
          <w:b/>
          <w:bCs/>
        </w:rPr>
        <w:t>S</w:t>
      </w:r>
      <w:r>
        <w:rPr>
          <w:b/>
          <w:bCs/>
        </w:rPr>
        <w:t xml:space="preserve">ervices souscrits : </w:t>
      </w:r>
      <w:r>
        <w:t>téléphonie, internet (DSL/Fibre), streaming, sécurité en ligne</w:t>
      </w:r>
    </w:p>
    <w:p w:rsidR="006529B1" w:rsidRDefault="00FD12E1">
      <w:pPr>
        <w:pStyle w:val="Paragraphedeliste"/>
        <w:numPr>
          <w:ilvl w:val="0"/>
          <w:numId w:val="2"/>
        </w:numPr>
        <w:spacing w:after="80"/>
      </w:pPr>
      <w:r>
        <w:rPr>
          <w:b/>
          <w:bCs/>
        </w:rPr>
        <w:t xml:space="preserve">Informations contractuelles : </w:t>
      </w:r>
      <w:r>
        <w:t>type de contrat, mode de paiement, facturation dématérialisée</w:t>
      </w:r>
    </w:p>
    <w:p w:rsidR="006529B1" w:rsidRDefault="00FD12E1">
      <w:pPr>
        <w:pStyle w:val="Paragraphedeliste"/>
        <w:numPr>
          <w:ilvl w:val="0"/>
          <w:numId w:val="2"/>
        </w:numPr>
        <w:spacing w:after="80"/>
      </w:pPr>
      <w:r>
        <w:rPr>
          <w:b/>
          <w:bCs/>
        </w:rPr>
        <w:t xml:space="preserve">Données financières : </w:t>
      </w:r>
      <w:r>
        <w:t>charges mensuelles, charges totales, ancienneté (tenure)</w:t>
      </w:r>
    </w:p>
    <w:p w:rsidR="006529B1" w:rsidRDefault="006529B1">
      <w:pPr>
        <w:spacing w:after="60"/>
      </w:pPr>
    </w:p>
    <w:p w:rsidR="006529B1" w:rsidRDefault="00FD12E1">
      <w:pPr>
        <w:spacing w:after="140"/>
        <w:jc w:val="both"/>
      </w:pPr>
      <w:r>
        <w:t>La variable cible Chu</w:t>
      </w:r>
      <w:r>
        <w:t>rn vaut "Yes" pour 26,5% des clients et "No" pour 73,5%. Ce déséquilibre marqué impose des précautions dans le prétraitement et dans le choix des métriques d'évaluation.</w:t>
      </w:r>
    </w:p>
    <w:p w:rsidR="002B2E3D" w:rsidRDefault="002B2E3D">
      <w:pPr>
        <w:pStyle w:val="Titre1"/>
        <w:pBdr>
          <w:bottom w:val="single" w:sz="6" w:space="4" w:color="1A6FA0"/>
        </w:pBdr>
        <w:rPr>
          <w:b w:val="0"/>
          <w:bCs w:val="0"/>
          <w:color w:val="333333"/>
          <w:sz w:val="22"/>
          <w:szCs w:val="22"/>
        </w:rPr>
      </w:pPr>
    </w:p>
    <w:p w:rsidR="002B2E3D" w:rsidRDefault="00FD12E1" w:rsidP="002B2E3D">
      <w:pPr>
        <w:pStyle w:val="Titre1"/>
        <w:pBdr>
          <w:bottom w:val="single" w:sz="6" w:space="4" w:color="1A6FA0"/>
        </w:pBdr>
      </w:pPr>
      <w:r>
        <w:t>2. Exploration des Données</w:t>
      </w:r>
    </w:p>
    <w:p w:rsidR="002B2E3D" w:rsidRPr="002B2E3D" w:rsidRDefault="00FD12E1" w:rsidP="002B2E3D">
      <w:pPr>
        <w:pStyle w:val="Titre1"/>
        <w:pBdr>
          <w:bottom w:val="single" w:sz="6" w:space="4" w:color="1A6FA0"/>
        </w:pBdr>
        <w:rPr>
          <w:color w:val="27AE60"/>
          <w:sz w:val="26"/>
          <w:szCs w:val="26"/>
        </w:rPr>
      </w:pPr>
      <w:r>
        <w:rPr>
          <w:color w:val="27AE60"/>
          <w:sz w:val="26"/>
          <w:szCs w:val="26"/>
        </w:rPr>
        <w:t xml:space="preserve">2.1  Taux de </w:t>
      </w:r>
      <w:proofErr w:type="spellStart"/>
      <w:r>
        <w:rPr>
          <w:color w:val="27AE60"/>
          <w:sz w:val="26"/>
          <w:szCs w:val="26"/>
        </w:rPr>
        <w:t>churn</w:t>
      </w:r>
      <w:proofErr w:type="spellEnd"/>
      <w:r>
        <w:rPr>
          <w:color w:val="27AE60"/>
          <w:sz w:val="26"/>
          <w:szCs w:val="26"/>
        </w:rPr>
        <w:t xml:space="preserve"> par variable catégorielle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338"/>
      </w:tblGrid>
      <w:tr w:rsidR="006529B1">
        <w:tblPrEx>
          <w:tblCellMar>
            <w:top w:w="0" w:type="dxa"/>
            <w:bottom w:w="0" w:type="dxa"/>
          </w:tblCellMar>
        </w:tblPrEx>
        <w:trPr>
          <w:tblHeader/>
        </w:trPr>
        <w:tc>
          <w:tcPr>
            <w:tcW w:w="2800" w:type="dxa"/>
            <w:tcBorders>
              <w:top w:val="single" w:sz="1" w:space="0" w:color="888888"/>
              <w:left w:val="single" w:sz="1" w:space="0" w:color="888888"/>
              <w:bottom w:val="single" w:sz="1" w:space="0" w:color="888888"/>
              <w:right w:val="single" w:sz="1" w:space="0" w:color="888888"/>
            </w:tcBorders>
            <w:shd w:val="clear" w:color="auto" w:fill="E67E22"/>
            <w:tcMar>
              <w:top w:w="100" w:type="dxa"/>
              <w:left w:w="120" w:type="dxa"/>
              <w:bottom w:w="100" w:type="dxa"/>
              <w:right w:w="120" w:type="dxa"/>
            </w:tcMar>
            <w:vAlign w:val="center"/>
          </w:tcPr>
          <w:p w:rsidR="006529B1" w:rsidRDefault="00FD12E1">
            <w:pPr>
              <w:jc w:val="center"/>
            </w:pPr>
            <w:r>
              <w:rPr>
                <w:b/>
                <w:bCs/>
                <w:color w:val="FFFFFF"/>
                <w:sz w:val="20"/>
                <w:szCs w:val="20"/>
              </w:rPr>
              <w:t>V</w:t>
            </w:r>
            <w:r>
              <w:rPr>
                <w:b/>
                <w:bCs/>
                <w:color w:val="FFFFFF"/>
                <w:sz w:val="20"/>
                <w:szCs w:val="20"/>
              </w:rPr>
              <w:t>ariable</w:t>
            </w:r>
          </w:p>
        </w:tc>
        <w:tc>
          <w:tcPr>
            <w:tcW w:w="3500" w:type="dxa"/>
            <w:tcBorders>
              <w:top w:val="single" w:sz="1" w:space="0" w:color="888888"/>
              <w:left w:val="single" w:sz="1" w:space="0" w:color="888888"/>
              <w:bottom w:val="single" w:sz="1" w:space="0" w:color="888888"/>
              <w:right w:val="single" w:sz="1" w:space="0" w:color="888888"/>
            </w:tcBorders>
            <w:shd w:val="clear" w:color="auto" w:fill="E67E22"/>
            <w:tcMar>
              <w:top w:w="100" w:type="dxa"/>
              <w:left w:w="120" w:type="dxa"/>
              <w:bottom w:w="100" w:type="dxa"/>
              <w:right w:w="120" w:type="dxa"/>
            </w:tcMar>
            <w:vAlign w:val="center"/>
          </w:tcPr>
          <w:p w:rsidR="006529B1" w:rsidRDefault="00FD12E1">
            <w:pPr>
              <w:jc w:val="center"/>
            </w:pPr>
            <w:r>
              <w:rPr>
                <w:b/>
                <w:bCs/>
                <w:color w:val="FFFFFF"/>
                <w:sz w:val="20"/>
                <w:szCs w:val="20"/>
              </w:rPr>
              <w:t>Mod</w:t>
            </w:r>
            <w:r>
              <w:rPr>
                <w:b/>
                <w:bCs/>
                <w:color w:val="FFFFFF"/>
                <w:sz w:val="20"/>
                <w:szCs w:val="20"/>
              </w:rPr>
              <w:t>alité</w:t>
            </w:r>
          </w:p>
        </w:tc>
        <w:tc>
          <w:tcPr>
            <w:tcW w:w="3338" w:type="dxa"/>
            <w:tcBorders>
              <w:top w:val="single" w:sz="1" w:space="0" w:color="888888"/>
              <w:left w:val="single" w:sz="1" w:space="0" w:color="888888"/>
              <w:bottom w:val="single" w:sz="1" w:space="0" w:color="888888"/>
              <w:right w:val="single" w:sz="1" w:space="0" w:color="888888"/>
            </w:tcBorders>
            <w:shd w:val="clear" w:color="auto" w:fill="E67E22"/>
            <w:tcMar>
              <w:top w:w="100" w:type="dxa"/>
              <w:left w:w="120" w:type="dxa"/>
              <w:bottom w:w="100" w:type="dxa"/>
              <w:right w:w="120" w:type="dxa"/>
            </w:tcMar>
            <w:vAlign w:val="center"/>
          </w:tcPr>
          <w:p w:rsidR="006529B1" w:rsidRDefault="00FD12E1">
            <w:pPr>
              <w:jc w:val="center"/>
            </w:pPr>
            <w:r>
              <w:rPr>
                <w:b/>
                <w:bCs/>
                <w:color w:val="FFFFFF"/>
                <w:sz w:val="20"/>
                <w:szCs w:val="20"/>
              </w:rPr>
              <w:t>Taux de churn</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6529B1" w:rsidRDefault="00FD12E1">
            <w:r>
              <w:rPr>
                <w:b/>
                <w:bCs/>
                <w:sz w:val="20"/>
                <w:szCs w:val="20"/>
              </w:rPr>
              <w:t>Contract</w:t>
            </w:r>
          </w:p>
        </w:tc>
        <w:tc>
          <w:tcPr>
            <w:tcW w:w="3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6529B1" w:rsidRDefault="00FD12E1">
            <w:r>
              <w:rPr>
                <w:sz w:val="20"/>
                <w:szCs w:val="20"/>
              </w:rPr>
              <w:t>Month-to-month</w:t>
            </w:r>
          </w:p>
        </w:tc>
        <w:tc>
          <w:tcPr>
            <w:tcW w:w="3338"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6529B1" w:rsidRDefault="00FD12E1">
            <w:pPr>
              <w:jc w:val="center"/>
            </w:pPr>
            <w:r>
              <w:rPr>
                <w:b/>
                <w:bCs/>
                <w:color w:val="27AE60"/>
                <w:sz w:val="20"/>
                <w:szCs w:val="20"/>
              </w:rPr>
              <w:t>~43%</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Contract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One year</w:t>
            </w:r>
          </w:p>
        </w:tc>
        <w:tc>
          <w:tcPr>
            <w:tcW w:w="3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pPr>
              <w:jc w:val="center"/>
            </w:pPr>
            <w:r>
              <w:rPr>
                <w:b/>
                <w:bCs/>
                <w:color w:val="27AE60"/>
                <w:sz w:val="20"/>
                <w:szCs w:val="20"/>
              </w:rPr>
              <w:t>~11%</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r>
              <w:rPr>
                <w:b/>
                <w:bCs/>
                <w:sz w:val="20"/>
                <w:szCs w:val="20"/>
              </w:rPr>
              <w:t>Contract</w:t>
            </w:r>
          </w:p>
        </w:tc>
        <w:tc>
          <w:tcPr>
            <w:tcW w:w="35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r>
              <w:rPr>
                <w:sz w:val="20"/>
                <w:szCs w:val="20"/>
              </w:rPr>
              <w:t>Two year</w:t>
            </w:r>
          </w:p>
        </w:tc>
        <w:tc>
          <w:tcPr>
            <w:tcW w:w="3338"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pPr>
              <w:jc w:val="center"/>
            </w:pPr>
            <w:r>
              <w:rPr>
                <w:b/>
                <w:bCs/>
                <w:color w:val="27AE60"/>
                <w:sz w:val="20"/>
                <w:szCs w:val="20"/>
              </w:rPr>
              <w:t>~3%</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6529B1" w:rsidRDefault="00FD12E1">
            <w:r>
              <w:rPr>
                <w:b/>
                <w:bCs/>
                <w:sz w:val="20"/>
                <w:szCs w:val="20"/>
              </w:rPr>
              <w:t>InternetService</w:t>
            </w:r>
          </w:p>
        </w:tc>
        <w:tc>
          <w:tcPr>
            <w:tcW w:w="3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6529B1" w:rsidRDefault="00FD12E1">
            <w:r>
              <w:rPr>
                <w:sz w:val="20"/>
                <w:szCs w:val="20"/>
              </w:rPr>
              <w:t>Fiber optic</w:t>
            </w:r>
          </w:p>
        </w:tc>
        <w:tc>
          <w:tcPr>
            <w:tcW w:w="3338"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6529B1" w:rsidRDefault="00FD12E1">
            <w:pPr>
              <w:jc w:val="center"/>
            </w:pPr>
            <w:r>
              <w:rPr>
                <w:b/>
                <w:bCs/>
                <w:color w:val="27AE60"/>
                <w:sz w:val="20"/>
                <w:szCs w:val="20"/>
              </w:rPr>
              <w:t>~41%</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InternetService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DSL</w:t>
            </w:r>
          </w:p>
        </w:tc>
        <w:tc>
          <w:tcPr>
            <w:tcW w:w="3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pPr>
              <w:jc w:val="center"/>
            </w:pPr>
            <w:r>
              <w:rPr>
                <w:b/>
                <w:bCs/>
                <w:color w:val="27AE60"/>
                <w:sz w:val="20"/>
                <w:szCs w:val="20"/>
              </w:rPr>
              <w:t>~19%</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r>
              <w:rPr>
                <w:b/>
                <w:bCs/>
                <w:sz w:val="20"/>
                <w:szCs w:val="20"/>
              </w:rPr>
              <w:t>InternetService</w:t>
            </w:r>
          </w:p>
        </w:tc>
        <w:tc>
          <w:tcPr>
            <w:tcW w:w="35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r>
              <w:rPr>
                <w:sz w:val="20"/>
                <w:szCs w:val="20"/>
              </w:rPr>
              <w:t>No</w:t>
            </w:r>
          </w:p>
        </w:tc>
        <w:tc>
          <w:tcPr>
            <w:tcW w:w="3338"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pPr>
              <w:jc w:val="center"/>
            </w:pPr>
            <w:r>
              <w:rPr>
                <w:b/>
                <w:bCs/>
                <w:color w:val="27AE60"/>
                <w:sz w:val="20"/>
                <w:szCs w:val="20"/>
              </w:rPr>
              <w:t>~7%</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vAlign w:val="center"/>
          </w:tcPr>
          <w:p w:rsidR="006529B1" w:rsidRDefault="00FD12E1">
            <w:r>
              <w:rPr>
                <w:b/>
                <w:bCs/>
                <w:sz w:val="20"/>
                <w:szCs w:val="20"/>
              </w:rPr>
              <w:t>PaymentMethod</w:t>
            </w:r>
          </w:p>
        </w:tc>
        <w:tc>
          <w:tcPr>
            <w:tcW w:w="35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vAlign w:val="center"/>
          </w:tcPr>
          <w:p w:rsidR="006529B1" w:rsidRDefault="00FD12E1">
            <w:r>
              <w:rPr>
                <w:sz w:val="20"/>
                <w:szCs w:val="20"/>
              </w:rPr>
              <w:t>Electronic check</w:t>
            </w:r>
          </w:p>
        </w:tc>
        <w:tc>
          <w:tcPr>
            <w:tcW w:w="3338"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vAlign w:val="center"/>
          </w:tcPr>
          <w:p w:rsidR="006529B1" w:rsidRDefault="00FD12E1">
            <w:pPr>
              <w:jc w:val="center"/>
            </w:pPr>
            <w:r>
              <w:rPr>
                <w:b/>
                <w:bCs/>
                <w:color w:val="27AE60"/>
                <w:sz w:val="20"/>
                <w:szCs w:val="20"/>
              </w:rPr>
              <w:t>~45%</w:t>
            </w:r>
          </w:p>
        </w:tc>
      </w:tr>
      <w:tr w:rsidR="006529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lastRenderedPageBreak/>
              <w:t>PaymentMethod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Credit card auto.</w:t>
            </w:r>
          </w:p>
        </w:tc>
        <w:tc>
          <w:tcPr>
            <w:tcW w:w="3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pPr>
              <w:jc w:val="center"/>
            </w:pPr>
            <w:r>
              <w:rPr>
                <w:b/>
                <w:bCs/>
                <w:color w:val="27AE60"/>
                <w:sz w:val="20"/>
                <w:szCs w:val="20"/>
              </w:rPr>
              <w:t>~15%</w:t>
            </w:r>
          </w:p>
        </w:tc>
      </w:tr>
    </w:tbl>
    <w:p w:rsidR="006529B1" w:rsidRDefault="006529B1">
      <w:pPr>
        <w:spacing w:after="60"/>
      </w:pPr>
    </w:p>
    <w:p w:rsidR="006529B1" w:rsidRDefault="00FD12E1">
      <w:pPr>
        <w:spacing w:after="200"/>
        <w:jc w:val="center"/>
      </w:pPr>
      <w:r>
        <w:rPr>
          <w:i/>
          <w:iCs/>
          <w:color w:val="555555"/>
          <w:sz w:val="18"/>
          <w:szCs w:val="18"/>
        </w:rPr>
        <w:t>Tableau 1 — Taux de churn observés selon les principales variables catégorielles</w:t>
      </w:r>
    </w:p>
    <w:p w:rsidR="006529B1" w:rsidRDefault="00FD12E1">
      <w:pPr>
        <w:spacing w:after="140"/>
        <w:jc w:val="both"/>
      </w:pPr>
      <w:r>
        <w:t>L'analyse descriptive révèle des écarts très marqués selon le type de contrat (43% de churn en mensuel vs 3% en deux ans) et le mode de paiement (45% par chèque électronique</w:t>
      </w:r>
      <w:r>
        <w:t xml:space="preserve"> vs 15% par carte). Les clients utilisant la fibre optique churne presque deux fois plus que ceux en DSL.</w:t>
      </w:r>
    </w:p>
    <w:p w:rsidR="006529B1" w:rsidRDefault="00FD12E1">
      <w:pPr>
        <w:pStyle w:val="Titre2"/>
      </w:pPr>
      <w:r>
        <w:t>2.2  Variables numériques</w:t>
      </w:r>
    </w:p>
    <w:p w:rsidR="006529B1" w:rsidRDefault="00FD12E1">
      <w:pPr>
        <w:spacing w:after="140"/>
        <w:jc w:val="both"/>
      </w:pPr>
      <w:r>
        <w:t>Les clients qui churne ont une ancienneté médiane de 10 mois contre 38 mois pour les clients fidèles. Leurs charges mensuell</w:t>
      </w:r>
      <w:r>
        <w:t>es sont en moyenne plus élevées (74 $ vs 61 $), reflétant une adoption plus fréquente de la fibre optique. La corrélation négative forte entre tenure et churn (-0,35) en fait le meilleur prédicteur numérique individuel du dataset.</w:t>
      </w:r>
    </w:p>
    <w:p w:rsidR="006529B1" w:rsidRDefault="00FD12E1">
      <w:r>
        <w:br w:type="page"/>
      </w:r>
    </w:p>
    <w:p w:rsidR="002B2E3D" w:rsidRDefault="00FD12E1" w:rsidP="002B2E3D">
      <w:pPr>
        <w:pStyle w:val="Titre1"/>
        <w:pBdr>
          <w:bottom w:val="single" w:sz="6" w:space="4" w:color="1A6FA0"/>
        </w:pBdr>
      </w:pPr>
      <w:r>
        <w:lastRenderedPageBreak/>
        <w:t>3. Méthodologie</w:t>
      </w:r>
    </w:p>
    <w:p w:rsidR="006529B1" w:rsidRDefault="00FD12E1" w:rsidP="002B2E3D">
      <w:pPr>
        <w:pStyle w:val="Titre1"/>
        <w:pBdr>
          <w:bottom w:val="single" w:sz="6" w:space="4" w:color="1A6FA0"/>
        </w:pBdr>
      </w:pPr>
      <w:r>
        <w:rPr>
          <w:color w:val="27AE60"/>
          <w:sz w:val="26"/>
          <w:szCs w:val="26"/>
        </w:rPr>
        <w:t>3.1  Vue d'ensemble du pipeline</w:t>
      </w:r>
    </w:p>
    <w:p w:rsidR="006529B1" w:rsidRDefault="006529B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738"/>
      </w:tblGrid>
      <w:tr w:rsidR="006529B1">
        <w:tblPrEx>
          <w:tblCellMar>
            <w:top w:w="0" w:type="dxa"/>
            <w:bottom w:w="0" w:type="dxa"/>
          </w:tblCellMar>
        </w:tblPrEx>
        <w:trPr>
          <w:tblHeader/>
        </w:trPr>
        <w:tc>
          <w:tcPr>
            <w:tcW w:w="2200" w:type="dxa"/>
            <w:tcBorders>
              <w:top w:val="single" w:sz="1" w:space="0" w:color="888888"/>
              <w:left w:val="single" w:sz="1" w:space="0" w:color="888888"/>
              <w:bottom w:val="single" w:sz="1" w:space="0" w:color="888888"/>
              <w:right w:val="single" w:sz="1" w:space="0" w:color="888888"/>
            </w:tcBorders>
            <w:shd w:val="clear" w:color="auto" w:fill="27AE60"/>
            <w:tcMar>
              <w:top w:w="100" w:type="dxa"/>
              <w:left w:w="120" w:type="dxa"/>
              <w:bottom w:w="100" w:type="dxa"/>
              <w:right w:w="120" w:type="dxa"/>
            </w:tcMar>
            <w:vAlign w:val="center"/>
          </w:tcPr>
          <w:p w:rsidR="006529B1" w:rsidRDefault="00FD12E1">
            <w:pPr>
              <w:jc w:val="center"/>
            </w:pPr>
            <w:r>
              <w:rPr>
                <w:b/>
                <w:bCs/>
                <w:color w:val="FFFFFF"/>
                <w:sz w:val="20"/>
                <w:szCs w:val="20"/>
              </w:rPr>
              <w:t>Étape</w:t>
            </w:r>
          </w:p>
        </w:tc>
        <w:tc>
          <w:tcPr>
            <w:tcW w:w="4700" w:type="dxa"/>
            <w:tcBorders>
              <w:top w:val="single" w:sz="1" w:space="0" w:color="888888"/>
              <w:left w:val="single" w:sz="1" w:space="0" w:color="888888"/>
              <w:bottom w:val="single" w:sz="1" w:space="0" w:color="888888"/>
              <w:right w:val="single" w:sz="1" w:space="0" w:color="888888"/>
            </w:tcBorders>
            <w:shd w:val="clear" w:color="auto" w:fill="27AE60"/>
            <w:tcMar>
              <w:top w:w="100" w:type="dxa"/>
              <w:left w:w="120" w:type="dxa"/>
              <w:bottom w:w="100" w:type="dxa"/>
              <w:right w:w="120" w:type="dxa"/>
            </w:tcMar>
            <w:vAlign w:val="center"/>
          </w:tcPr>
          <w:p w:rsidR="006529B1" w:rsidRDefault="00FD12E1">
            <w:pPr>
              <w:jc w:val="center"/>
            </w:pPr>
            <w:r>
              <w:rPr>
                <w:b/>
                <w:bCs/>
                <w:color w:val="FFFFFF"/>
                <w:sz w:val="20"/>
                <w:szCs w:val="20"/>
              </w:rPr>
              <w:t>Description</w:t>
            </w:r>
          </w:p>
        </w:tc>
        <w:tc>
          <w:tcPr>
            <w:tcW w:w="2738" w:type="dxa"/>
            <w:tcBorders>
              <w:top w:val="single" w:sz="1" w:space="0" w:color="888888"/>
              <w:left w:val="single" w:sz="1" w:space="0" w:color="888888"/>
              <w:bottom w:val="single" w:sz="1" w:space="0" w:color="888888"/>
              <w:right w:val="single" w:sz="1" w:space="0" w:color="888888"/>
            </w:tcBorders>
            <w:shd w:val="clear" w:color="auto" w:fill="27AE60"/>
            <w:tcMar>
              <w:top w:w="100" w:type="dxa"/>
              <w:left w:w="120" w:type="dxa"/>
              <w:bottom w:w="100" w:type="dxa"/>
              <w:right w:w="120" w:type="dxa"/>
            </w:tcMar>
            <w:vAlign w:val="center"/>
          </w:tcPr>
          <w:p w:rsidR="006529B1" w:rsidRDefault="00FD12E1">
            <w:pPr>
              <w:jc w:val="center"/>
            </w:pPr>
            <w:r>
              <w:rPr>
                <w:b/>
                <w:bCs/>
                <w:color w:val="FFFFFF"/>
                <w:sz w:val="20"/>
                <w:szCs w:val="20"/>
              </w:rPr>
              <w:t>Outils</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1. Chargement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CSV Kaggle ou dataset synthétique réaliste</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color w:val="555555"/>
                <w:sz w:val="20"/>
                <w:szCs w:val="20"/>
              </w:rPr>
              <w:t>pandas</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b/>
                <w:bCs/>
                <w:sz w:val="20"/>
                <w:szCs w:val="20"/>
              </w:rPr>
              <w:t>2. Exploration</w:t>
            </w:r>
          </w:p>
        </w:tc>
        <w:tc>
          <w:tcPr>
            <w:tcW w:w="47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sz w:val="20"/>
                <w:szCs w:val="20"/>
              </w:rPr>
              <w:t>Distributions, taux de churn par catégorie</w:t>
            </w:r>
          </w:p>
        </w:tc>
        <w:tc>
          <w:tcPr>
            <w:tcW w:w="2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color w:val="555555"/>
                <w:sz w:val="20"/>
                <w:szCs w:val="20"/>
              </w:rPr>
              <w:t>seaborn, matplotlib</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3. Nettoyage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TotalCharges → numérique, NaN → médiane</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color w:val="555555"/>
                <w:sz w:val="20"/>
                <w:szCs w:val="20"/>
              </w:rPr>
              <w:t>pandas</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b/>
                <w:bCs/>
                <w:sz w:val="20"/>
                <w:szCs w:val="20"/>
              </w:rPr>
              <w:t>4. Encodage</w:t>
            </w:r>
          </w:p>
        </w:tc>
        <w:tc>
          <w:tcPr>
            <w:tcW w:w="47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sz w:val="20"/>
                <w:szCs w:val="20"/>
              </w:rPr>
              <w:t>One-Hot Encoding (16 variables catégorielles)</w:t>
            </w:r>
          </w:p>
        </w:tc>
        <w:tc>
          <w:tcPr>
            <w:tcW w:w="2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color w:val="555555"/>
                <w:sz w:val="20"/>
                <w:szCs w:val="20"/>
              </w:rPr>
              <w:t>get_dummies</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5. Split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80% train / 20% test, split stratifié</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color w:val="555555"/>
                <w:sz w:val="20"/>
                <w:szCs w:val="20"/>
              </w:rPr>
              <w:t>train_test_split</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b/>
                <w:bCs/>
                <w:sz w:val="20"/>
                <w:szCs w:val="20"/>
              </w:rPr>
              <w:t>6. Normalisation</w:t>
            </w:r>
          </w:p>
        </w:tc>
        <w:tc>
          <w:tcPr>
            <w:tcW w:w="47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sz w:val="20"/>
                <w:szCs w:val="20"/>
              </w:rPr>
              <w:t>StandardScaler (moyenne=0, écart-type=1)</w:t>
            </w:r>
          </w:p>
        </w:tc>
        <w:tc>
          <w:tcPr>
            <w:tcW w:w="2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color w:val="555555"/>
                <w:sz w:val="20"/>
                <w:szCs w:val="20"/>
              </w:rPr>
              <w:t>scikit-learn</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7. SMOTE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Rééquilibrage sur train uniquement (50/50)</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color w:val="555555"/>
                <w:sz w:val="20"/>
                <w:szCs w:val="20"/>
              </w:rPr>
              <w:t>imbalanced-learn</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b/>
                <w:bCs/>
                <w:sz w:val="20"/>
                <w:szCs w:val="20"/>
              </w:rPr>
              <w:t>8. Modèles</w:t>
            </w:r>
          </w:p>
        </w:tc>
        <w:tc>
          <w:tcPr>
            <w:tcW w:w="47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sz w:val="20"/>
                <w:szCs w:val="20"/>
              </w:rPr>
              <w:t>3 classifieurs supervisés comparés</w:t>
            </w:r>
          </w:p>
        </w:tc>
        <w:tc>
          <w:tcPr>
            <w:tcW w:w="2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color w:val="555555"/>
                <w:sz w:val="20"/>
                <w:szCs w:val="20"/>
              </w:rPr>
              <w:t>scikit-learn</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9. Non supervisé</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Pr="002B2E3D" w:rsidRDefault="00FD12E1">
            <w:pPr>
              <w:rPr>
                <w:lang w:val="en-US"/>
              </w:rPr>
            </w:pPr>
            <w:r w:rsidRPr="002B2E3D">
              <w:rPr>
                <w:sz w:val="20"/>
                <w:szCs w:val="20"/>
                <w:lang w:val="en-US"/>
              </w:rPr>
              <w:t>PCA 2D + K-Means k=4 (segments clients)</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color w:val="555555"/>
                <w:sz w:val="20"/>
                <w:szCs w:val="20"/>
              </w:rPr>
              <w:t>scikit-learn</w:t>
            </w:r>
          </w:p>
        </w:tc>
      </w:tr>
      <w:tr w:rsidR="006529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b/>
                <w:bCs/>
                <w:sz w:val="20"/>
                <w:szCs w:val="20"/>
              </w:rPr>
              <w:t>10. Interface</w:t>
            </w:r>
          </w:p>
        </w:tc>
        <w:tc>
          <w:tcPr>
            <w:tcW w:w="47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sz w:val="20"/>
                <w:szCs w:val="20"/>
              </w:rPr>
              <w:t>Prédiction churn par profil client (widgets)</w:t>
            </w:r>
          </w:p>
        </w:tc>
        <w:tc>
          <w:tcPr>
            <w:tcW w:w="2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color w:val="555555"/>
                <w:sz w:val="20"/>
                <w:szCs w:val="20"/>
              </w:rPr>
              <w:t>ipywidgets</w:t>
            </w:r>
          </w:p>
        </w:tc>
      </w:tr>
    </w:tbl>
    <w:p w:rsidR="006529B1" w:rsidRDefault="006529B1">
      <w:pPr>
        <w:spacing w:after="60"/>
      </w:pPr>
    </w:p>
    <w:p w:rsidR="006529B1" w:rsidRDefault="00FD12E1">
      <w:pPr>
        <w:spacing w:after="200"/>
        <w:jc w:val="center"/>
      </w:pPr>
      <w:r>
        <w:rPr>
          <w:i/>
          <w:iCs/>
          <w:color w:val="555555"/>
          <w:sz w:val="18"/>
          <w:szCs w:val="18"/>
        </w:rPr>
        <w:t>Tableau 2 — Étapes du pipeline ML de bout en bout</w:t>
      </w:r>
    </w:p>
    <w:p w:rsidR="006529B1" w:rsidRDefault="00FD12E1">
      <w:pPr>
        <w:pStyle w:val="Titre2"/>
      </w:pPr>
      <w:r>
        <w:t>3.2  Gestion du déséquilibre de classes</w:t>
      </w:r>
    </w:p>
    <w:p w:rsidR="006529B1" w:rsidRDefault="00FD12E1">
      <w:pPr>
        <w:spacing w:after="140"/>
        <w:jc w:val="both"/>
      </w:pPr>
      <w:r>
        <w:t>Avec 26,5% de positifs seulement, un modèle naïf qui prédit toujours "Non-churn" atteindrait 73,5% d'</w:t>
      </w:r>
      <w:r>
        <w:t>accuracy sans aucune utilité pratique. Pour corriger ce biais, nous appliquons SMOTE (Synthetic Minority Over-sampling Technique) exclusivement sur l'ensemble d'entraînement. SMOTE génère des exemples synthétiques de la classe minoritaire par interpolation</w:t>
      </w:r>
      <w:r>
        <w:t xml:space="preserve"> entre voisins réels, jusqu'à équilibrer parfaitement les deux classes (50/50). L'ensemble de test reste intact pour éviter toute fuite de données (data leakage).</w:t>
      </w:r>
    </w:p>
    <w:p w:rsidR="006529B1" w:rsidRDefault="00FD12E1">
      <w:pPr>
        <w:pStyle w:val="Titre2"/>
      </w:pPr>
      <w:r>
        <w:t>3.3  Modèles supervisés</w:t>
      </w:r>
    </w:p>
    <w:p w:rsidR="006529B1" w:rsidRDefault="00FD12E1">
      <w:pPr>
        <w:pStyle w:val="Paragraphedeliste"/>
        <w:numPr>
          <w:ilvl w:val="0"/>
          <w:numId w:val="2"/>
        </w:numPr>
        <w:spacing w:after="80"/>
      </w:pPr>
      <w:r>
        <w:rPr>
          <w:b/>
          <w:bCs/>
        </w:rPr>
        <w:t xml:space="preserve">Régression Logistique : </w:t>
      </w:r>
      <w:r>
        <w:t>Modèle linéaire de référence, interprétable v</w:t>
      </w:r>
      <w:r>
        <w:t xml:space="preserve">ia ses coefficients. Utilisé avec </w:t>
      </w:r>
      <w:proofErr w:type="spellStart"/>
      <w:r>
        <w:t>max_iter</w:t>
      </w:r>
      <w:proofErr w:type="spellEnd"/>
      <w:r>
        <w:t>=500 pour garantir la convergence sur ce jeu de données haute dimension.</w:t>
      </w:r>
    </w:p>
    <w:p w:rsidR="006529B1" w:rsidRDefault="00FD12E1">
      <w:pPr>
        <w:pStyle w:val="Paragraphedeliste"/>
        <w:numPr>
          <w:ilvl w:val="0"/>
          <w:numId w:val="2"/>
        </w:numPr>
        <w:spacing w:after="80"/>
      </w:pPr>
      <w:proofErr w:type="spellStart"/>
      <w:r>
        <w:rPr>
          <w:b/>
          <w:bCs/>
        </w:rPr>
        <w:t>Random</w:t>
      </w:r>
      <w:proofErr w:type="spellEnd"/>
      <w:r>
        <w:rPr>
          <w:b/>
          <w:bCs/>
        </w:rPr>
        <w:t xml:space="preserve"> Forest (n=100 arbres) : </w:t>
      </w:r>
      <w:r>
        <w:t xml:space="preserve">Agrégation de 100 arbres de décision entraînés sur des sous-ensembles aléatoires de </w:t>
      </w:r>
      <w:proofErr w:type="spellStart"/>
      <w:r>
        <w:t>features</w:t>
      </w:r>
      <w:proofErr w:type="spellEnd"/>
      <w:r>
        <w:t xml:space="preserve"> et d'exemples (</w:t>
      </w:r>
      <w:proofErr w:type="spellStart"/>
      <w:r>
        <w:t>ba</w:t>
      </w:r>
      <w:r>
        <w:t>gging</w:t>
      </w:r>
      <w:proofErr w:type="spellEnd"/>
      <w:r>
        <w:t xml:space="preserve">). Robuste aux </w:t>
      </w:r>
      <w:proofErr w:type="spellStart"/>
      <w:r>
        <w:t>outliers</w:t>
      </w:r>
      <w:proofErr w:type="spellEnd"/>
      <w:r>
        <w:t xml:space="preserve"> et peu sensible aux </w:t>
      </w:r>
      <w:proofErr w:type="spellStart"/>
      <w:r>
        <w:t>hyperparamètres</w:t>
      </w:r>
      <w:proofErr w:type="spellEnd"/>
      <w:r>
        <w:t>.</w:t>
      </w:r>
    </w:p>
    <w:p w:rsidR="006529B1" w:rsidRDefault="00FD12E1">
      <w:pPr>
        <w:pStyle w:val="Paragraphedeliste"/>
        <w:numPr>
          <w:ilvl w:val="0"/>
          <w:numId w:val="2"/>
        </w:numPr>
        <w:spacing w:after="80"/>
      </w:pPr>
      <w:r>
        <w:rPr>
          <w:b/>
          <w:bCs/>
        </w:rPr>
        <w:t xml:space="preserve">Gradient </w:t>
      </w:r>
      <w:proofErr w:type="spellStart"/>
      <w:r>
        <w:rPr>
          <w:b/>
          <w:bCs/>
        </w:rPr>
        <w:t>Boosting</w:t>
      </w:r>
      <w:proofErr w:type="spellEnd"/>
      <w:r>
        <w:rPr>
          <w:b/>
          <w:bCs/>
        </w:rPr>
        <w:t xml:space="preserve"> (n=100, </w:t>
      </w:r>
      <w:proofErr w:type="spellStart"/>
      <w:r>
        <w:rPr>
          <w:b/>
          <w:bCs/>
        </w:rPr>
        <w:t>lr</w:t>
      </w:r>
      <w:proofErr w:type="spellEnd"/>
      <w:r>
        <w:rPr>
          <w:b/>
          <w:bCs/>
        </w:rPr>
        <w:t xml:space="preserve">=0,1) : </w:t>
      </w:r>
      <w:r>
        <w:t xml:space="preserve">Construction séquentielle d'arbres corrigeant les erreurs du modèle précédent. Particulièrement efficace sur des données tabulaires hétérogènes comme le </w:t>
      </w:r>
      <w:proofErr w:type="spellStart"/>
      <w:r>
        <w:t>d</w:t>
      </w:r>
      <w:r>
        <w:t>ataset</w:t>
      </w:r>
      <w:proofErr w:type="spellEnd"/>
      <w:r>
        <w:t xml:space="preserve"> </w:t>
      </w:r>
      <w:proofErr w:type="spellStart"/>
      <w:r>
        <w:t>Telco</w:t>
      </w:r>
      <w:proofErr w:type="spellEnd"/>
      <w:r>
        <w:t>.</w:t>
      </w:r>
    </w:p>
    <w:p w:rsidR="006529B1" w:rsidRDefault="00FD12E1">
      <w:pPr>
        <w:pStyle w:val="Titre2"/>
      </w:pPr>
      <w:r>
        <w:t>3.4  Métriques d'évaluation</w:t>
      </w:r>
    </w:p>
    <w:p w:rsidR="006529B1" w:rsidRDefault="00FD12E1">
      <w:pPr>
        <w:spacing w:after="140"/>
        <w:jc w:val="both"/>
      </w:pPr>
      <w:r>
        <w:t>L'accuracy seule est trompeuse en contexte déséquilibré. Nous privilégions trois métriques complémentaires :</w:t>
      </w:r>
    </w:p>
    <w:p w:rsidR="006529B1" w:rsidRDefault="00FD12E1">
      <w:pPr>
        <w:pStyle w:val="Paragraphedeliste"/>
        <w:numPr>
          <w:ilvl w:val="0"/>
          <w:numId w:val="2"/>
        </w:numPr>
        <w:spacing w:after="80"/>
      </w:pPr>
      <w:r>
        <w:rPr>
          <w:b/>
          <w:bCs/>
        </w:rPr>
        <w:t xml:space="preserve">F1-score : </w:t>
      </w:r>
      <w:r>
        <w:t>moyenne harmonique entre précision et rappel — équilibre entre faux positifs (actions de réten</w:t>
      </w:r>
      <w:r>
        <w:t>tion inutiles) et faux négatifs (</w:t>
      </w:r>
      <w:proofErr w:type="spellStart"/>
      <w:r>
        <w:t>churners</w:t>
      </w:r>
      <w:proofErr w:type="spellEnd"/>
      <w:r>
        <w:t xml:space="preserve"> manqués).</w:t>
      </w:r>
    </w:p>
    <w:p w:rsidR="006529B1" w:rsidRDefault="00FD12E1">
      <w:pPr>
        <w:pStyle w:val="Paragraphedeliste"/>
        <w:numPr>
          <w:ilvl w:val="0"/>
          <w:numId w:val="2"/>
        </w:numPr>
        <w:spacing w:after="80"/>
      </w:pPr>
      <w:r>
        <w:rPr>
          <w:b/>
          <w:bCs/>
        </w:rPr>
        <w:t xml:space="preserve">AUC-ROC : </w:t>
      </w:r>
      <w:r>
        <w:t>aire sous la courbe ROC — mesure la capacité du modèle à discriminer les deux classes sur tous les seuils de décision possibles.</w:t>
      </w:r>
    </w:p>
    <w:p w:rsidR="006529B1" w:rsidRDefault="00FD12E1">
      <w:pPr>
        <w:pStyle w:val="Paragraphedeliste"/>
        <w:numPr>
          <w:ilvl w:val="0"/>
          <w:numId w:val="2"/>
        </w:numPr>
        <w:spacing w:after="80"/>
      </w:pPr>
      <w:r>
        <w:rPr>
          <w:b/>
          <w:bCs/>
        </w:rPr>
        <w:lastRenderedPageBreak/>
        <w:t xml:space="preserve">Matrice de confusion : </w:t>
      </w:r>
      <w:r>
        <w:t>visualise les vrais/faux positifs et négatifs pour comprendre la nature des erreurs du modèle.</w:t>
      </w:r>
    </w:p>
    <w:p w:rsidR="006529B1" w:rsidRDefault="00FD12E1">
      <w:r>
        <w:br w:type="page"/>
      </w:r>
    </w:p>
    <w:p w:rsidR="002B2E3D" w:rsidRDefault="00FD12E1" w:rsidP="002B2E3D">
      <w:pPr>
        <w:pStyle w:val="Titre1"/>
        <w:pBdr>
          <w:bottom w:val="single" w:sz="6" w:space="4" w:color="1A6FA0"/>
        </w:pBdr>
      </w:pPr>
      <w:r>
        <w:lastRenderedPageBreak/>
        <w:t>4. Résultats et Analyse</w:t>
      </w:r>
    </w:p>
    <w:p w:rsidR="006529B1" w:rsidRDefault="00FD12E1" w:rsidP="002B2E3D">
      <w:pPr>
        <w:pStyle w:val="Titre1"/>
        <w:pBdr>
          <w:bottom w:val="single" w:sz="6" w:space="4" w:color="1A6FA0"/>
        </w:pBdr>
      </w:pPr>
      <w:r>
        <w:rPr>
          <w:color w:val="27AE60"/>
          <w:sz w:val="26"/>
          <w:szCs w:val="26"/>
        </w:rPr>
        <w:t>4.1  Tableau comparatif des modèles</w:t>
      </w:r>
    </w:p>
    <w:p w:rsidR="006529B1" w:rsidRDefault="006529B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00"/>
        <w:gridCol w:w="1638"/>
      </w:tblGrid>
      <w:tr w:rsidR="006529B1">
        <w:tblPrEx>
          <w:tblCellMar>
            <w:top w:w="0" w:type="dxa"/>
            <w:bottom w:w="0" w:type="dxa"/>
          </w:tblCellMar>
        </w:tblPrEx>
        <w:trPr>
          <w:tblHeader/>
        </w:trPr>
        <w:tc>
          <w:tcPr>
            <w:tcW w:w="3500" w:type="dxa"/>
            <w:tcBorders>
              <w:top w:val="single" w:sz="1" w:space="0" w:color="888888"/>
              <w:left w:val="single" w:sz="1" w:space="0" w:color="888888"/>
              <w:bottom w:val="single" w:sz="1" w:space="0" w:color="888888"/>
              <w:right w:val="single" w:sz="1" w:space="0" w:color="888888"/>
            </w:tcBorders>
            <w:shd w:val="clear" w:color="auto" w:fill="1A6FA0"/>
            <w:tcMar>
              <w:top w:w="100" w:type="dxa"/>
              <w:left w:w="120" w:type="dxa"/>
              <w:bottom w:w="100" w:type="dxa"/>
              <w:right w:w="120" w:type="dxa"/>
            </w:tcMar>
            <w:vAlign w:val="center"/>
          </w:tcPr>
          <w:p w:rsidR="006529B1" w:rsidRDefault="00FD12E1">
            <w:pPr>
              <w:jc w:val="center"/>
            </w:pPr>
            <w:r>
              <w:rPr>
                <w:b/>
                <w:bCs/>
                <w:color w:val="FFFFFF"/>
                <w:sz w:val="20"/>
                <w:szCs w:val="20"/>
              </w:rPr>
              <w:t>Modèle</w:t>
            </w:r>
          </w:p>
        </w:tc>
        <w:tc>
          <w:tcPr>
            <w:tcW w:w="1500" w:type="dxa"/>
            <w:tcBorders>
              <w:top w:val="single" w:sz="1" w:space="0" w:color="888888"/>
              <w:left w:val="single" w:sz="1" w:space="0" w:color="888888"/>
              <w:bottom w:val="single" w:sz="1" w:space="0" w:color="888888"/>
              <w:right w:val="single" w:sz="1" w:space="0" w:color="888888"/>
            </w:tcBorders>
            <w:shd w:val="clear" w:color="auto" w:fill="1A6FA0"/>
            <w:tcMar>
              <w:top w:w="100" w:type="dxa"/>
              <w:left w:w="120" w:type="dxa"/>
              <w:bottom w:w="100" w:type="dxa"/>
              <w:right w:w="120" w:type="dxa"/>
            </w:tcMar>
            <w:vAlign w:val="center"/>
          </w:tcPr>
          <w:p w:rsidR="006529B1" w:rsidRDefault="00FD12E1">
            <w:pPr>
              <w:jc w:val="center"/>
            </w:pPr>
            <w:r>
              <w:rPr>
                <w:b/>
                <w:bCs/>
                <w:color w:val="FFFFFF"/>
                <w:sz w:val="20"/>
                <w:szCs w:val="20"/>
              </w:rPr>
              <w:t>Accuracy</w:t>
            </w:r>
          </w:p>
        </w:tc>
        <w:tc>
          <w:tcPr>
            <w:tcW w:w="1500" w:type="dxa"/>
            <w:tcBorders>
              <w:top w:val="single" w:sz="1" w:space="0" w:color="888888"/>
              <w:left w:val="single" w:sz="1" w:space="0" w:color="888888"/>
              <w:bottom w:val="single" w:sz="1" w:space="0" w:color="888888"/>
              <w:right w:val="single" w:sz="1" w:space="0" w:color="888888"/>
            </w:tcBorders>
            <w:shd w:val="clear" w:color="auto" w:fill="1A6FA0"/>
            <w:tcMar>
              <w:top w:w="100" w:type="dxa"/>
              <w:left w:w="120" w:type="dxa"/>
              <w:bottom w:w="100" w:type="dxa"/>
              <w:right w:w="120" w:type="dxa"/>
            </w:tcMar>
            <w:vAlign w:val="center"/>
          </w:tcPr>
          <w:p w:rsidR="006529B1" w:rsidRDefault="00FD12E1">
            <w:pPr>
              <w:jc w:val="center"/>
            </w:pPr>
            <w:r>
              <w:rPr>
                <w:b/>
                <w:bCs/>
                <w:color w:val="FFFFFF"/>
                <w:sz w:val="20"/>
                <w:szCs w:val="20"/>
              </w:rPr>
              <w:t>F1-score</w:t>
            </w:r>
          </w:p>
        </w:tc>
        <w:tc>
          <w:tcPr>
            <w:tcW w:w="1500" w:type="dxa"/>
            <w:tcBorders>
              <w:top w:val="single" w:sz="1" w:space="0" w:color="888888"/>
              <w:left w:val="single" w:sz="1" w:space="0" w:color="888888"/>
              <w:bottom w:val="single" w:sz="1" w:space="0" w:color="888888"/>
              <w:right w:val="single" w:sz="1" w:space="0" w:color="888888"/>
            </w:tcBorders>
            <w:shd w:val="clear" w:color="auto" w:fill="1A6FA0"/>
            <w:tcMar>
              <w:top w:w="100" w:type="dxa"/>
              <w:left w:w="120" w:type="dxa"/>
              <w:bottom w:w="100" w:type="dxa"/>
              <w:right w:w="120" w:type="dxa"/>
            </w:tcMar>
            <w:vAlign w:val="center"/>
          </w:tcPr>
          <w:p w:rsidR="006529B1" w:rsidRDefault="00FD12E1">
            <w:pPr>
              <w:jc w:val="center"/>
            </w:pPr>
            <w:r>
              <w:rPr>
                <w:b/>
                <w:bCs/>
                <w:color w:val="FFFFFF"/>
                <w:sz w:val="20"/>
                <w:szCs w:val="20"/>
              </w:rPr>
              <w:t>AUC-ROC</w:t>
            </w:r>
          </w:p>
        </w:tc>
        <w:tc>
          <w:tcPr>
            <w:tcW w:w="1638" w:type="dxa"/>
            <w:tcBorders>
              <w:top w:val="single" w:sz="1" w:space="0" w:color="888888"/>
              <w:left w:val="single" w:sz="1" w:space="0" w:color="888888"/>
              <w:bottom w:val="single" w:sz="1" w:space="0" w:color="888888"/>
              <w:right w:val="single" w:sz="1" w:space="0" w:color="888888"/>
            </w:tcBorders>
            <w:shd w:val="clear" w:color="auto" w:fill="1A6FA0"/>
            <w:tcMar>
              <w:top w:w="100" w:type="dxa"/>
              <w:left w:w="120" w:type="dxa"/>
              <w:bottom w:w="100" w:type="dxa"/>
              <w:right w:w="120" w:type="dxa"/>
            </w:tcMar>
            <w:vAlign w:val="center"/>
          </w:tcPr>
          <w:p w:rsidR="006529B1" w:rsidRDefault="00FD12E1">
            <w:pPr>
              <w:jc w:val="center"/>
            </w:pPr>
            <w:r>
              <w:rPr>
                <w:b/>
                <w:bCs/>
                <w:color w:val="FFFFFF"/>
                <w:sz w:val="20"/>
                <w:szCs w:val="20"/>
              </w:rPr>
              <w:t>Remarque</w:t>
            </w:r>
          </w:p>
        </w:tc>
      </w:tr>
      <w:tr w:rsidR="006529B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b/>
                <w:bCs/>
                <w:sz w:val="20"/>
                <w:szCs w:val="20"/>
              </w:rPr>
              <w:t>Régression Logistique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pPr>
              <w:jc w:val="center"/>
            </w:pPr>
            <w:r>
              <w:rPr>
                <w:sz w:val="20"/>
                <w:szCs w:val="20"/>
              </w:rPr>
              <w:t>~0.770</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pPr>
              <w:jc w:val="center"/>
            </w:pPr>
            <w:r>
              <w:rPr>
                <w:sz w:val="20"/>
                <w:szCs w:val="20"/>
              </w:rPr>
              <w:t>~0.600</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pPr>
              <w:jc w:val="center"/>
            </w:pPr>
            <w:r>
              <w:rPr>
                <w:sz w:val="20"/>
                <w:szCs w:val="20"/>
              </w:rPr>
              <w:t>~0.840</w:t>
            </w:r>
          </w:p>
        </w:tc>
        <w:tc>
          <w:tcPr>
            <w:tcW w:w="1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rsidR="006529B1" w:rsidRDefault="00FD12E1">
            <w:r>
              <w:rPr>
                <w:sz w:val="20"/>
                <w:szCs w:val="20"/>
              </w:rPr>
              <w:t>Baseline rapide</w:t>
            </w:r>
          </w:p>
        </w:tc>
      </w:tr>
      <w:tr w:rsidR="006529B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b/>
                <w:bCs/>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pPr>
              <w:jc w:val="center"/>
            </w:pPr>
            <w:r>
              <w:rPr>
                <w:sz w:val="20"/>
                <w:szCs w:val="20"/>
              </w:rPr>
              <w:t>~0.800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pPr>
              <w:jc w:val="center"/>
            </w:pPr>
            <w:r>
              <w:rPr>
                <w:sz w:val="20"/>
                <w:szCs w:val="20"/>
              </w:rPr>
              <w:t>~0.640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pPr>
              <w:jc w:val="center"/>
            </w:pPr>
            <w:r>
              <w:rPr>
                <w:sz w:val="20"/>
                <w:szCs w:val="20"/>
              </w:rPr>
              <w:t>~0.870</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529B1" w:rsidRDefault="00FD12E1">
            <w:r>
              <w:rPr>
                <w:sz w:val="20"/>
                <w:szCs w:val="20"/>
              </w:rPr>
              <w:t>Bon équilibre</w:t>
            </w:r>
          </w:p>
        </w:tc>
      </w:tr>
      <w:tr w:rsidR="006529B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r>
              <w:rPr>
                <w:b/>
                <w:bCs/>
                <w:sz w:val="20"/>
                <w:szCs w:val="20"/>
              </w:rPr>
              <w:t>Gradient Boosting</w:t>
            </w:r>
          </w:p>
        </w:tc>
        <w:tc>
          <w:tcPr>
            <w:tcW w:w="15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pPr>
              <w:jc w:val="center"/>
            </w:pPr>
            <w:r>
              <w:rPr>
                <w:sz w:val="20"/>
                <w:szCs w:val="20"/>
              </w:rPr>
              <w:t>~0.810</w:t>
            </w:r>
          </w:p>
        </w:tc>
        <w:tc>
          <w:tcPr>
            <w:tcW w:w="15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pPr>
              <w:jc w:val="center"/>
            </w:pPr>
            <w:r>
              <w:rPr>
                <w:sz w:val="20"/>
                <w:szCs w:val="20"/>
              </w:rPr>
              <w:t>~0.650</w:t>
            </w:r>
          </w:p>
        </w:tc>
        <w:tc>
          <w:tcPr>
            <w:tcW w:w="1500"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pPr>
              <w:jc w:val="center"/>
            </w:pPr>
            <w:r>
              <w:rPr>
                <w:sz w:val="20"/>
                <w:szCs w:val="20"/>
              </w:rPr>
              <w:t>~0.880</w:t>
            </w:r>
          </w:p>
        </w:tc>
        <w:tc>
          <w:tcPr>
            <w:tcW w:w="1638" w:type="dxa"/>
            <w:tcBorders>
              <w:top w:val="single" w:sz="1" w:space="0" w:color="CCCCCC"/>
              <w:left w:val="single" w:sz="1" w:space="0" w:color="CCCCCC"/>
              <w:bottom w:val="single" w:sz="1" w:space="0" w:color="CCCCCC"/>
              <w:right w:val="single" w:sz="1" w:space="0" w:color="CCCCCC"/>
            </w:tcBorders>
            <w:shd w:val="clear" w:color="auto" w:fill="DFF0E4"/>
            <w:tcMar>
              <w:top w:w="80" w:type="dxa"/>
              <w:left w:w="120" w:type="dxa"/>
              <w:bottom w:w="80" w:type="dxa"/>
              <w:right w:w="120" w:type="dxa"/>
            </w:tcMar>
            <w:vAlign w:val="center"/>
          </w:tcPr>
          <w:p w:rsidR="006529B1" w:rsidRDefault="00FD12E1">
            <w:r>
              <w:rPr>
                <w:sz w:val="20"/>
                <w:szCs w:val="20"/>
              </w:rPr>
              <w:t>Meilleur AUC</w:t>
            </w:r>
          </w:p>
        </w:tc>
      </w:tr>
    </w:tbl>
    <w:p w:rsidR="006529B1" w:rsidRDefault="006529B1">
      <w:pPr>
        <w:spacing w:after="60"/>
      </w:pPr>
    </w:p>
    <w:p w:rsidR="006529B1" w:rsidRDefault="00FD12E1">
      <w:pPr>
        <w:spacing w:after="200"/>
        <w:jc w:val="center"/>
      </w:pPr>
      <w:r>
        <w:rPr>
          <w:i/>
          <w:iCs/>
          <w:color w:val="555555"/>
          <w:sz w:val="18"/>
          <w:szCs w:val="18"/>
        </w:rPr>
        <w:t>Tableau 3 — Comparaison des performances sur l'ensemble de test (20%)</w:t>
      </w:r>
    </w:p>
    <w:p w:rsidR="006529B1" w:rsidRDefault="00FD12E1">
      <w:pPr>
        <w:spacing w:after="140"/>
        <w:jc w:val="both"/>
      </w:pPr>
      <w:r>
        <w:t>Le Gradient Boosting obtient le meilleur AUC-ROC (0,88), confirmant sa supériorité sur les données tabulaires. La Régression Logistique reste compétitive avec un AUC de 0,84 pour un coût computationnel bien inférieur, ce qui peut justifier son choix en pro</w:t>
      </w:r>
      <w:r>
        <w:t>duction sur des systèmes à ressources limitées.</w:t>
      </w:r>
    </w:p>
    <w:p w:rsidR="006529B1" w:rsidRDefault="00FD12E1">
      <w:pPr>
        <w:pStyle w:val="Titre2"/>
      </w:pPr>
      <w:r>
        <w:t xml:space="preserve">4.2  Importance des </w:t>
      </w:r>
      <w:proofErr w:type="spellStart"/>
      <w:r>
        <w:t>features</w:t>
      </w:r>
      <w:proofErr w:type="spellEnd"/>
    </w:p>
    <w:p w:rsidR="006529B1" w:rsidRDefault="00FD12E1">
      <w:pPr>
        <w:spacing w:after="140"/>
        <w:jc w:val="both"/>
      </w:pPr>
      <w:r>
        <w:t>L'analyse des importances du Random Forest confirme les observations exploratoires : l'ancienneté (tenure) et les charges totales (TotalCharges) dominent, suivies du type de contr</w:t>
      </w:r>
      <w:r>
        <w:t>at mensuel et du mode de paiement par chèque électronique. Les variables démographiques (genre, statut senior) présentent une importance marginale, suggérant que le comportement contractuel est plus prédictif que le profil personnel.</w:t>
      </w:r>
    </w:p>
    <w:p w:rsidR="006529B1" w:rsidRDefault="00FD12E1">
      <w:pPr>
        <w:pStyle w:val="Titre2"/>
      </w:pPr>
      <w:r>
        <w:t>4.3  Analyse PCA et se</w:t>
      </w:r>
      <w:r>
        <w:t>gmentation K-</w:t>
      </w:r>
      <w:proofErr w:type="spellStart"/>
      <w:r>
        <w:t>Means</w:t>
      </w:r>
      <w:proofErr w:type="spellEnd"/>
    </w:p>
    <w:p w:rsidR="006529B1" w:rsidRDefault="00FD12E1">
      <w:pPr>
        <w:spacing w:after="140"/>
        <w:jc w:val="both"/>
      </w:pPr>
      <w:r>
        <w:t>La projection PCA 2D montre un chevauchement significatif entre churners et non-churners, justifiant le recours à des modèles non linéaires. La segmentation K-Means (k=4) identifie quatre profils clients distincts, dont un segment à très</w:t>
      </w:r>
      <w:r>
        <w:t xml:space="preserve"> haut risque (taux de churn &gt; 55%) composé principalement de clients en contrat mensuel avec fibre optique et paiement électronique. Ces segments peuvent orienter des stratégies de rétention différenciées par groupe.</w:t>
      </w:r>
    </w:p>
    <w:p w:rsidR="006529B1" w:rsidRDefault="00FD12E1">
      <w:pPr>
        <w:pStyle w:val="Titre2"/>
      </w:pPr>
      <w:r>
        <w:t>4.4  Interface de prédiction</w:t>
      </w:r>
    </w:p>
    <w:p w:rsidR="006529B1" w:rsidRDefault="00FD12E1">
      <w:pPr>
        <w:spacing w:after="140"/>
        <w:jc w:val="both"/>
      </w:pPr>
      <w:r>
        <w:t>L'interfac</w:t>
      </w:r>
      <w:r>
        <w:t>e Jupyter repose sur ipywidgets et permet de saisir le profil contractuel d'un client via des menus déroulants et des curseurs (ancienneté, charges mensuelles, type de contrat, service internet, mode de paiement). Le modèle Gradient Boosting produit instan</w:t>
      </w:r>
      <w:r>
        <w:t>tanément une probabilité de churn avec un indicateur visuel à trois niveaux : vert (&lt; 40%), orange (40–70%), rouge (&gt; 70%). Le seuil de décision de 50% peut être abaissé pour maximiser le rappel.</w:t>
      </w:r>
    </w:p>
    <w:p w:rsidR="006529B1" w:rsidRDefault="00FD12E1">
      <w:r>
        <w:br w:type="page"/>
      </w:r>
    </w:p>
    <w:p w:rsidR="006529B1" w:rsidRDefault="00FD12E1">
      <w:pPr>
        <w:pStyle w:val="Titre1"/>
        <w:pBdr>
          <w:bottom w:val="single" w:sz="6" w:space="4" w:color="1A6FA0"/>
        </w:pBdr>
      </w:pPr>
      <w:r>
        <w:lastRenderedPageBreak/>
        <w:t>5. Limites et Pistes d'Amélioration</w:t>
      </w:r>
    </w:p>
    <w:p w:rsidR="006529B1" w:rsidRDefault="00FD12E1">
      <w:pPr>
        <w:pStyle w:val="Titre2"/>
      </w:pPr>
      <w:r>
        <w:t>5.1  Limites identifiées</w:t>
      </w:r>
    </w:p>
    <w:p w:rsidR="006529B1" w:rsidRDefault="00FD12E1">
      <w:pPr>
        <w:pStyle w:val="Paragraphedeliste"/>
        <w:numPr>
          <w:ilvl w:val="0"/>
          <w:numId w:val="2"/>
        </w:numPr>
        <w:spacing w:after="80"/>
      </w:pPr>
      <w:proofErr w:type="spellStart"/>
      <w:r>
        <w:t>Dataset</w:t>
      </w:r>
      <w:proofErr w:type="spellEnd"/>
      <w:r>
        <w:t xml:space="preserve"> fictif (IBM) : les distributions ne reflètent pas forcément un opérateur réel, ce qui peut introduire des biais.</w:t>
      </w:r>
    </w:p>
    <w:p w:rsidR="006529B1" w:rsidRDefault="00FD12E1">
      <w:pPr>
        <w:pStyle w:val="Paragraphedeliste"/>
        <w:numPr>
          <w:ilvl w:val="0"/>
          <w:numId w:val="2"/>
        </w:numPr>
        <w:spacing w:after="80"/>
      </w:pPr>
      <w:r>
        <w:t>Absence de données comportementales temporelles (volume d'appels, usage data mois par mois, incidents réseau).</w:t>
      </w:r>
    </w:p>
    <w:p w:rsidR="006529B1" w:rsidRDefault="00FD12E1">
      <w:pPr>
        <w:pStyle w:val="Paragraphedeliste"/>
        <w:numPr>
          <w:ilvl w:val="0"/>
          <w:numId w:val="2"/>
        </w:numPr>
        <w:spacing w:after="80"/>
      </w:pPr>
      <w:proofErr w:type="spellStart"/>
      <w:r>
        <w:t>Hyperparamètres</w:t>
      </w:r>
      <w:proofErr w:type="spellEnd"/>
      <w:r>
        <w:t xml:space="preserve"> non optimisés : un </w:t>
      </w:r>
      <w:proofErr w:type="spellStart"/>
      <w:r>
        <w:t>GridSearchCV</w:t>
      </w:r>
      <w:proofErr w:type="spellEnd"/>
      <w:r>
        <w:t xml:space="preserve"> ou </w:t>
      </w:r>
      <w:proofErr w:type="spellStart"/>
      <w:r>
        <w:t>RandomizedSearchCV</w:t>
      </w:r>
      <w:proofErr w:type="spellEnd"/>
      <w:r>
        <w:t xml:space="preserve"> pourrait améliorer significativement le F1.</w:t>
      </w:r>
    </w:p>
    <w:p w:rsidR="006529B1" w:rsidRDefault="00FD12E1">
      <w:pPr>
        <w:pStyle w:val="Paragraphedeliste"/>
        <w:numPr>
          <w:ilvl w:val="0"/>
          <w:numId w:val="2"/>
        </w:numPr>
        <w:spacing w:after="80"/>
      </w:pPr>
      <w:r>
        <w:t>Le seuil de décision 0,5 n'est pas optimal : l'abaisser à 0,3–0,4 améliore le rappel au coût d'une précision réduite.</w:t>
      </w:r>
    </w:p>
    <w:p w:rsidR="006529B1" w:rsidRDefault="00FD12E1">
      <w:pPr>
        <w:pStyle w:val="Titre2"/>
      </w:pPr>
      <w:r>
        <w:t>5.2  Pistes d'améliorat</w:t>
      </w:r>
      <w:r>
        <w:t>ion</w:t>
      </w:r>
    </w:p>
    <w:p w:rsidR="006529B1" w:rsidRDefault="00FD12E1">
      <w:pPr>
        <w:pStyle w:val="Paragraphedeliste"/>
        <w:numPr>
          <w:ilvl w:val="0"/>
          <w:numId w:val="2"/>
        </w:numPr>
        <w:spacing w:after="80"/>
      </w:pPr>
      <w:r>
        <w:rPr>
          <w:b/>
          <w:bCs/>
        </w:rPr>
        <w:t xml:space="preserve">Optimisation du seuil : </w:t>
      </w:r>
      <w:r>
        <w:t>courbe précision-rappel pour choisir le seuil maximisant F1 ou minimisant les faux négatifs selon l'objectif métier.</w:t>
      </w:r>
    </w:p>
    <w:p w:rsidR="006529B1" w:rsidRDefault="00FD12E1">
      <w:pPr>
        <w:pStyle w:val="Paragraphedeliste"/>
        <w:numPr>
          <w:ilvl w:val="0"/>
          <w:numId w:val="2"/>
        </w:numPr>
        <w:spacing w:after="80"/>
      </w:pPr>
      <w:r>
        <w:rPr>
          <w:b/>
          <w:bCs/>
        </w:rPr>
        <w:t xml:space="preserve">Modèles avancés : </w:t>
      </w:r>
      <w:proofErr w:type="spellStart"/>
      <w:r>
        <w:t>XGBoost</w:t>
      </w:r>
      <w:proofErr w:type="spellEnd"/>
      <w:r>
        <w:t xml:space="preserve"> ou </w:t>
      </w:r>
      <w:proofErr w:type="spellStart"/>
      <w:r>
        <w:t>LightGBM</w:t>
      </w:r>
      <w:proofErr w:type="spellEnd"/>
      <w:r>
        <w:t>, architectures optimisées pour données tabulaires, souvent supérieures au</w:t>
      </w:r>
      <w:r>
        <w:t xml:space="preserve"> GBM classique sans </w:t>
      </w:r>
      <w:proofErr w:type="spellStart"/>
      <w:r>
        <w:t>overhead</w:t>
      </w:r>
      <w:proofErr w:type="spellEnd"/>
      <w:r>
        <w:t xml:space="preserve"> de mémoire.</w:t>
      </w:r>
    </w:p>
    <w:p w:rsidR="006529B1" w:rsidRDefault="00FD12E1">
      <w:pPr>
        <w:pStyle w:val="Paragraphedeliste"/>
        <w:numPr>
          <w:ilvl w:val="0"/>
          <w:numId w:val="2"/>
        </w:numPr>
        <w:spacing w:after="80"/>
      </w:pPr>
      <w:r>
        <w:rPr>
          <w:b/>
          <w:bCs/>
        </w:rPr>
        <w:t xml:space="preserve">Validation croisée stratifiée : </w:t>
      </w:r>
      <w:proofErr w:type="spellStart"/>
      <w:r>
        <w:t>StratifiedKFold</w:t>
      </w:r>
      <w:proofErr w:type="spellEnd"/>
      <w:r>
        <w:t xml:space="preserve"> (k=5) pour une estimation plus robuste et moins variance-dépendante des performances.</w:t>
      </w:r>
    </w:p>
    <w:p w:rsidR="006529B1" w:rsidRDefault="00FD12E1">
      <w:pPr>
        <w:pStyle w:val="Paragraphedeliste"/>
        <w:numPr>
          <w:ilvl w:val="0"/>
          <w:numId w:val="2"/>
        </w:numPr>
        <w:spacing w:after="80"/>
      </w:pPr>
      <w:proofErr w:type="spellStart"/>
      <w:r>
        <w:rPr>
          <w:b/>
          <w:bCs/>
        </w:rPr>
        <w:t>Feature</w:t>
      </w:r>
      <w:proofErr w:type="spellEnd"/>
      <w:r>
        <w:rPr>
          <w:b/>
          <w:bCs/>
        </w:rPr>
        <w:t xml:space="preserve"> engineering : </w:t>
      </w:r>
      <w:r>
        <w:t>score d'engagement (nombre de services souscrits), ratio ch</w:t>
      </w:r>
      <w:r>
        <w:t>arges/ancienneté, indicateur de multi-contrat.</w:t>
      </w:r>
    </w:p>
    <w:p w:rsidR="006529B1" w:rsidRDefault="00FD12E1">
      <w:pPr>
        <w:pStyle w:val="Paragraphedeliste"/>
        <w:numPr>
          <w:ilvl w:val="0"/>
          <w:numId w:val="2"/>
        </w:numPr>
        <w:spacing w:after="80"/>
      </w:pPr>
      <w:r>
        <w:rPr>
          <w:b/>
          <w:bCs/>
        </w:rPr>
        <w:t xml:space="preserve">Déploiement : </w:t>
      </w:r>
      <w:r>
        <w:t xml:space="preserve">API </w:t>
      </w:r>
      <w:proofErr w:type="spellStart"/>
      <w:r>
        <w:t>FastAPI</w:t>
      </w:r>
      <w:proofErr w:type="spellEnd"/>
      <w:r>
        <w:t xml:space="preserve"> ou application </w:t>
      </w:r>
      <w:proofErr w:type="spellStart"/>
      <w:r>
        <w:t>Streamlit</w:t>
      </w:r>
      <w:proofErr w:type="spellEnd"/>
      <w:r>
        <w:t xml:space="preserve"> pour une utilisation en production par les équipes commerciales sans </w:t>
      </w:r>
      <w:proofErr w:type="spellStart"/>
      <w:r>
        <w:t>Jupyter</w:t>
      </w:r>
      <w:proofErr w:type="spellEnd"/>
      <w:r>
        <w:t>.</w:t>
      </w:r>
    </w:p>
    <w:p w:rsidR="002B2E3D" w:rsidRDefault="00FD12E1" w:rsidP="002B2E3D">
      <w:pPr>
        <w:pStyle w:val="Titre1"/>
        <w:pBdr>
          <w:bottom w:val="single" w:sz="6" w:space="4" w:color="1A6FA0"/>
        </w:pBdr>
      </w:pPr>
      <w:r>
        <w:t>6. Conclusion</w:t>
      </w:r>
    </w:p>
    <w:p w:rsidR="002B2E3D" w:rsidRDefault="00FD12E1" w:rsidP="002B2E3D">
      <w:pPr>
        <w:pStyle w:val="Titre1"/>
        <w:pBdr>
          <w:bottom w:val="single" w:sz="6" w:space="4" w:color="1A6FA0"/>
        </w:pBdr>
        <w:rPr>
          <w:color w:val="333333"/>
          <w:sz w:val="22"/>
          <w:szCs w:val="22"/>
        </w:rPr>
      </w:pPr>
      <w:r>
        <w:rPr>
          <w:color w:val="333333"/>
          <w:sz w:val="22"/>
          <w:szCs w:val="22"/>
        </w:rPr>
        <w:t>Ce mini-projet démontre la faisabilité d'</w:t>
      </w:r>
      <w:r>
        <w:rPr>
          <w:color w:val="333333"/>
          <w:sz w:val="22"/>
          <w:szCs w:val="22"/>
        </w:rPr>
        <w:t xml:space="preserve">un système de détection du </w:t>
      </w:r>
      <w:proofErr w:type="spellStart"/>
      <w:r>
        <w:rPr>
          <w:color w:val="333333"/>
          <w:sz w:val="22"/>
          <w:szCs w:val="22"/>
        </w:rPr>
        <w:t>churn</w:t>
      </w:r>
      <w:proofErr w:type="spellEnd"/>
      <w:r>
        <w:rPr>
          <w:color w:val="333333"/>
          <w:sz w:val="22"/>
          <w:szCs w:val="22"/>
        </w:rPr>
        <w:t xml:space="preserve"> client sur des données télécom réalistes. Le pipeline complet — de l'exploration à l'interface interactive — couvre l'ensemble des compétences visées par le module de machine </w:t>
      </w:r>
      <w:proofErr w:type="spellStart"/>
      <w:r>
        <w:rPr>
          <w:color w:val="333333"/>
          <w:sz w:val="22"/>
          <w:szCs w:val="22"/>
        </w:rPr>
        <w:t>learning</w:t>
      </w:r>
      <w:proofErr w:type="spellEnd"/>
      <w:r>
        <w:rPr>
          <w:color w:val="333333"/>
          <w:sz w:val="22"/>
          <w:szCs w:val="22"/>
        </w:rPr>
        <w:t xml:space="preserve"> : prétraitement, modélisation supervisé</w:t>
      </w:r>
      <w:r>
        <w:rPr>
          <w:color w:val="333333"/>
          <w:sz w:val="22"/>
          <w:szCs w:val="22"/>
        </w:rPr>
        <w:t>e, évaluation adaptée au déséquilibre, et apprentissage non supervisé.</w:t>
      </w:r>
    </w:p>
    <w:p w:rsidR="006529B1" w:rsidRDefault="00FD12E1" w:rsidP="002B2E3D">
      <w:pPr>
        <w:pStyle w:val="Titre1"/>
        <w:pBdr>
          <w:bottom w:val="single" w:sz="6" w:space="4" w:color="1A6FA0"/>
        </w:pBdr>
      </w:pPr>
      <w:r>
        <w:rPr>
          <w:color w:val="333333"/>
          <w:sz w:val="22"/>
          <w:szCs w:val="22"/>
        </w:rPr>
        <w:t xml:space="preserve">Le modèle Gradient </w:t>
      </w:r>
      <w:proofErr w:type="spellStart"/>
      <w:r>
        <w:rPr>
          <w:color w:val="333333"/>
          <w:sz w:val="22"/>
          <w:szCs w:val="22"/>
        </w:rPr>
        <w:t>Boosting</w:t>
      </w:r>
      <w:proofErr w:type="spellEnd"/>
      <w:r>
        <w:rPr>
          <w:color w:val="333333"/>
          <w:sz w:val="22"/>
          <w:szCs w:val="22"/>
        </w:rPr>
        <w:t xml:space="preserve">, avec un AUC-ROC de 0,88, permet de classer correctement la grande majorité des clients selon leur risque de </w:t>
      </w:r>
      <w:proofErr w:type="spellStart"/>
      <w:r>
        <w:rPr>
          <w:color w:val="333333"/>
          <w:sz w:val="22"/>
          <w:szCs w:val="22"/>
        </w:rPr>
        <w:t>churn</w:t>
      </w:r>
      <w:proofErr w:type="spellEnd"/>
      <w:r>
        <w:rPr>
          <w:color w:val="333333"/>
          <w:sz w:val="22"/>
          <w:szCs w:val="22"/>
        </w:rPr>
        <w:t>, offrant une base solide pour des campagne</w:t>
      </w:r>
      <w:r>
        <w:rPr>
          <w:color w:val="333333"/>
          <w:sz w:val="22"/>
          <w:szCs w:val="22"/>
        </w:rPr>
        <w:t xml:space="preserve">s de rétention ciblées. La gestion du déséquilibre par SMOTE et l'utilisation de métriques adaptées (F1, AUC-ROC) constituent les contributions méthodologiques clés de ce projet par rapport à une approche naïve par </w:t>
      </w:r>
      <w:proofErr w:type="spellStart"/>
      <w:r>
        <w:rPr>
          <w:color w:val="333333"/>
          <w:sz w:val="22"/>
          <w:szCs w:val="22"/>
        </w:rPr>
        <w:t>accuracy</w:t>
      </w:r>
      <w:proofErr w:type="spellEnd"/>
      <w:r>
        <w:rPr>
          <w:color w:val="333333"/>
          <w:sz w:val="22"/>
          <w:szCs w:val="22"/>
        </w:rPr>
        <w:t>.</w:t>
      </w:r>
    </w:p>
    <w:p w:rsidR="006529B1" w:rsidRDefault="006529B1">
      <w:pPr>
        <w:pBdr>
          <w:bottom w:val="single" w:sz="4" w:space="1" w:color="D5D5D5"/>
        </w:pBdr>
        <w:spacing w:after="160"/>
      </w:pPr>
    </w:p>
    <w:p w:rsidR="006529B1" w:rsidRPr="002B2E3D" w:rsidRDefault="00FD12E1">
      <w:pPr>
        <w:rPr>
          <w:lang w:val="en-US"/>
        </w:rPr>
      </w:pPr>
      <w:r w:rsidRPr="002B2E3D">
        <w:rPr>
          <w:b/>
          <w:bCs/>
          <w:color w:val="555555"/>
          <w:sz w:val="18"/>
          <w:szCs w:val="18"/>
        </w:rPr>
        <w:t>Référence</w:t>
      </w:r>
      <w:r w:rsidRPr="002B2E3D">
        <w:rPr>
          <w:b/>
          <w:bCs/>
          <w:color w:val="555555"/>
          <w:sz w:val="18"/>
          <w:szCs w:val="18"/>
          <w:lang w:val="en-US"/>
        </w:rPr>
        <w:t xml:space="preserve"> : </w:t>
      </w:r>
      <w:r w:rsidRPr="002B2E3D">
        <w:rPr>
          <w:color w:val="555555"/>
          <w:sz w:val="18"/>
          <w:szCs w:val="18"/>
          <w:lang w:val="en-US"/>
        </w:rPr>
        <w:t>IBM Sample Data Se</w:t>
      </w:r>
      <w:r w:rsidRPr="002B2E3D">
        <w:rPr>
          <w:color w:val="555555"/>
          <w:sz w:val="18"/>
          <w:szCs w:val="18"/>
          <w:lang w:val="en-US"/>
        </w:rPr>
        <w:t xml:space="preserve">ts — Telco Customer Churn. Disponible sur Kaggle : </w:t>
      </w:r>
      <w:r w:rsidRPr="002B2E3D">
        <w:rPr>
          <w:color w:val="1A6FA0"/>
          <w:sz w:val="18"/>
          <w:szCs w:val="18"/>
          <w:lang w:val="en-US"/>
        </w:rPr>
        <w:t>kaggle.com/datasets/blastchar/telco-customer-churn</w:t>
      </w:r>
    </w:p>
    <w:sectPr w:rsidR="006529B1" w:rsidRPr="002B2E3D">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2E1" w:rsidRDefault="00FD12E1">
      <w:r>
        <w:separator/>
      </w:r>
    </w:p>
  </w:endnote>
  <w:endnote w:type="continuationSeparator" w:id="0">
    <w:p w:rsidR="00FD12E1" w:rsidRDefault="00FD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9B1" w:rsidRDefault="00FD12E1">
    <w:pPr>
      <w:pBdr>
        <w:top w:val="single" w:sz="4" w:space="4" w:color="D5D5D5"/>
      </w:pBdr>
      <w:spacing w:before="100"/>
      <w:jc w:val="center"/>
    </w:pPr>
    <w:r>
      <w:rPr>
        <w:color w:val="555555"/>
        <w:sz w:val="18"/>
        <w:szCs w:val="18"/>
      </w:rPr>
      <w:t xml:space="preserve">Mini-Projet Machine Learning  |  Page </w:t>
    </w:r>
    <w:r>
      <w:rPr>
        <w:color w:val="555555"/>
        <w:sz w:val="18"/>
        <w:szCs w:val="18"/>
      </w:rPr>
      <w:fldChar w:fldCharType="begin"/>
    </w:r>
    <w:r>
      <w:rPr>
        <w:color w:val="555555"/>
        <w:sz w:val="18"/>
        <w:szCs w:val="18"/>
      </w:rPr>
      <w:instrText>PAGE</w:instrText>
    </w:r>
    <w:r w:rsidR="002B2E3D">
      <w:rPr>
        <w:color w:val="555555"/>
        <w:sz w:val="18"/>
        <w:szCs w:val="18"/>
      </w:rPr>
      <w:fldChar w:fldCharType="separate"/>
    </w:r>
    <w:r w:rsidR="002B2E3D">
      <w:rPr>
        <w:color w:val="555555"/>
        <w:sz w:val="18"/>
        <w:szCs w:val="18"/>
      </w:rPr>
      <w:t>7</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sidR="002B2E3D">
      <w:rPr>
        <w:color w:val="555555"/>
        <w:sz w:val="18"/>
        <w:szCs w:val="18"/>
      </w:rPr>
      <w:fldChar w:fldCharType="separate"/>
    </w:r>
    <w:r w:rsidR="002B2E3D">
      <w:rPr>
        <w:color w:val="555555"/>
        <w:sz w:val="18"/>
        <w:szCs w:val="18"/>
      </w:rPr>
      <w:t>7</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2E1" w:rsidRDefault="00FD12E1">
      <w:r>
        <w:separator/>
      </w:r>
    </w:p>
  </w:footnote>
  <w:footnote w:type="continuationSeparator" w:id="0">
    <w:p w:rsidR="00FD12E1" w:rsidRDefault="00FD12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9B1" w:rsidRDefault="00FD12E1">
    <w:pPr>
      <w:pBdr>
        <w:bottom w:val="single" w:sz="4" w:space="4" w:color="D5D5D5"/>
      </w:pBdr>
      <w:spacing w:after="100"/>
    </w:pPr>
    <w:r>
      <w:rPr>
        <w:color w:val="555555"/>
        <w:sz w:val="18"/>
        <w:szCs w:val="18"/>
      </w:rPr>
      <w:t>Rapport ML — Prédiction du Churn Client Telco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E73FEC"/>
    <w:multiLevelType w:val="hybridMultilevel"/>
    <w:tmpl w:val="016039CC"/>
    <w:lvl w:ilvl="0" w:tplc="A25E928A">
      <w:start w:val="1"/>
      <w:numFmt w:val="bullet"/>
      <w:lvlText w:val="•"/>
      <w:lvlJc w:val="left"/>
      <w:pPr>
        <w:ind w:left="720" w:hanging="360"/>
      </w:pPr>
    </w:lvl>
    <w:lvl w:ilvl="1" w:tplc="3BF22E8A">
      <w:numFmt w:val="decimal"/>
      <w:lvlText w:val=""/>
      <w:lvlJc w:val="left"/>
    </w:lvl>
    <w:lvl w:ilvl="2" w:tplc="BCA22586">
      <w:numFmt w:val="decimal"/>
      <w:lvlText w:val=""/>
      <w:lvlJc w:val="left"/>
    </w:lvl>
    <w:lvl w:ilvl="3" w:tplc="E9A855CA">
      <w:numFmt w:val="decimal"/>
      <w:lvlText w:val=""/>
      <w:lvlJc w:val="left"/>
    </w:lvl>
    <w:lvl w:ilvl="4" w:tplc="B842710E">
      <w:numFmt w:val="decimal"/>
      <w:lvlText w:val=""/>
      <w:lvlJc w:val="left"/>
    </w:lvl>
    <w:lvl w:ilvl="5" w:tplc="81BC7C1A">
      <w:numFmt w:val="decimal"/>
      <w:lvlText w:val=""/>
      <w:lvlJc w:val="left"/>
    </w:lvl>
    <w:lvl w:ilvl="6" w:tplc="69D0AE0E">
      <w:numFmt w:val="decimal"/>
      <w:lvlText w:val=""/>
      <w:lvlJc w:val="left"/>
    </w:lvl>
    <w:lvl w:ilvl="7" w:tplc="EB8E26D8">
      <w:numFmt w:val="decimal"/>
      <w:lvlText w:val=""/>
      <w:lvlJc w:val="left"/>
    </w:lvl>
    <w:lvl w:ilvl="8" w:tplc="873CB328">
      <w:numFmt w:val="decimal"/>
      <w:lvlText w:val=""/>
      <w:lvlJc w:val="left"/>
    </w:lvl>
  </w:abstractNum>
  <w:abstractNum w:abstractNumId="1" w15:restartNumberingAfterBreak="0">
    <w:nsid w:val="52067472"/>
    <w:multiLevelType w:val="hybridMultilevel"/>
    <w:tmpl w:val="2940FF08"/>
    <w:lvl w:ilvl="0" w:tplc="6EF4F5BC">
      <w:start w:val="1"/>
      <w:numFmt w:val="bullet"/>
      <w:lvlText w:val="●"/>
      <w:lvlJc w:val="left"/>
      <w:pPr>
        <w:ind w:left="720" w:hanging="360"/>
      </w:pPr>
    </w:lvl>
    <w:lvl w:ilvl="1" w:tplc="C16CC474">
      <w:start w:val="1"/>
      <w:numFmt w:val="bullet"/>
      <w:lvlText w:val="○"/>
      <w:lvlJc w:val="left"/>
      <w:pPr>
        <w:ind w:left="1440" w:hanging="360"/>
      </w:pPr>
    </w:lvl>
    <w:lvl w:ilvl="2" w:tplc="1116F92E">
      <w:start w:val="1"/>
      <w:numFmt w:val="bullet"/>
      <w:lvlText w:val="■"/>
      <w:lvlJc w:val="left"/>
      <w:pPr>
        <w:ind w:left="2160" w:hanging="360"/>
      </w:pPr>
    </w:lvl>
    <w:lvl w:ilvl="3" w:tplc="E43A491E">
      <w:start w:val="1"/>
      <w:numFmt w:val="bullet"/>
      <w:lvlText w:val="●"/>
      <w:lvlJc w:val="left"/>
      <w:pPr>
        <w:ind w:left="2880" w:hanging="360"/>
      </w:pPr>
    </w:lvl>
    <w:lvl w:ilvl="4" w:tplc="59DCBF6E">
      <w:start w:val="1"/>
      <w:numFmt w:val="bullet"/>
      <w:lvlText w:val="○"/>
      <w:lvlJc w:val="left"/>
      <w:pPr>
        <w:ind w:left="3600" w:hanging="360"/>
      </w:pPr>
    </w:lvl>
    <w:lvl w:ilvl="5" w:tplc="9342CE08">
      <w:start w:val="1"/>
      <w:numFmt w:val="bullet"/>
      <w:lvlText w:val="■"/>
      <w:lvlJc w:val="left"/>
      <w:pPr>
        <w:ind w:left="4320" w:hanging="360"/>
      </w:pPr>
    </w:lvl>
    <w:lvl w:ilvl="6" w:tplc="BC00D830">
      <w:start w:val="1"/>
      <w:numFmt w:val="bullet"/>
      <w:lvlText w:val="●"/>
      <w:lvlJc w:val="left"/>
      <w:pPr>
        <w:ind w:left="5040" w:hanging="360"/>
      </w:pPr>
    </w:lvl>
    <w:lvl w:ilvl="7" w:tplc="2A820B08">
      <w:start w:val="1"/>
      <w:numFmt w:val="bullet"/>
      <w:lvlText w:val="●"/>
      <w:lvlJc w:val="left"/>
      <w:pPr>
        <w:ind w:left="5760" w:hanging="360"/>
      </w:pPr>
    </w:lvl>
    <w:lvl w:ilvl="8" w:tplc="9C1456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9B1"/>
    <w:rsid w:val="002B2E3D"/>
    <w:rsid w:val="006529B1"/>
    <w:rsid w:val="00FD12E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BF8219-C634-4260-96C5-176D7613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33333"/>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Titre1">
    <w:name w:val="heading 1"/>
    <w:qFormat/>
    <w:pPr>
      <w:spacing w:before="320" w:after="160"/>
      <w:outlineLvl w:val="0"/>
    </w:pPr>
    <w:rPr>
      <w:b/>
      <w:bCs/>
      <w:color w:val="1A6FA0"/>
      <w:sz w:val="32"/>
      <w:szCs w:val="32"/>
    </w:rPr>
  </w:style>
  <w:style w:type="paragraph" w:styleId="Titre2">
    <w:name w:val="heading 2"/>
    <w:qFormat/>
    <w:pPr>
      <w:spacing w:before="240" w:after="120"/>
      <w:outlineLvl w:val="1"/>
    </w:pPr>
    <w:rPr>
      <w:b/>
      <w:bCs/>
      <w:color w:val="27AE60"/>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1494</Words>
  <Characters>8221</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2026-03-30T20:42:00Z</dcterms:created>
  <dcterms:modified xsi:type="dcterms:W3CDTF">2026-03-30T20:54:00Z</dcterms:modified>
</cp:coreProperties>
</file>