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p>
    <w:p>
      <w:pPr>
        <w:spacing w:before="0" w:after="80" w:line="276" w:lineRule="auto"/>
        <w:jc w:val="center"/>
      </w:pPr>
      <w:r>
        <w:rPr>
          <w:rFonts w:ascii="Times New Roman" w:hAnsi="Times New Roman"/>
          <w:b/>
          <w:color w:val="000000"/>
          <w:sz w:val="28"/>
        </w:rPr>
        <w:t>LAPORAN ANALISIS RISET SOSIAL &amp; PERILAKU DIGITAL</w:t>
      </w:r>
    </w:p>
    <w:p>
      <w:pPr>
        <w:spacing w:before="0" w:after="360" w:line="276" w:lineRule="auto"/>
        <w:jc w:val="center"/>
      </w:pPr>
      <w:r>
        <w:rPr>
          <w:rFonts w:ascii="Times New Roman" w:hAnsi="Times New Roman"/>
          <w:b/>
          <w:color w:val="000000"/>
          <w:sz w:val="24"/>
        </w:rPr>
        <w:t>DINAMIKA PLATFORMISASI MEDIA: DEKOMPOSISI PENGARUH TERHADAP KONSTRUKSI IDENTITAS, DISRUPSI PSIKOSOSIAL, DAN TRANSFORMASI GAYA HIDUP GENERASI MUDA INDONESIA</w:t>
      </w:r>
    </w:p>
    <w:p>
      <w:pPr>
        <w:spacing w:before="240" w:after="360"/>
        <w:jc w:val="center"/>
      </w:pPr>
      <w:r>
        <w:rPr>
          <w:rFonts w:ascii="Times New Roman" w:hAnsi="Times New Roman"/>
          <w:b/>
          <w:sz w:val="24"/>
        </w:rPr>
        <w:t>――――――――――――――――――――――――――――――</w:t>
      </w:r>
    </w:p>
    <w:p>
      <w:pPr>
        <w:spacing w:before="0" w:after="720" w:line="276" w:lineRule="auto"/>
        <w:jc w:val="center"/>
      </w:pPr>
      <w:r>
        <w:rPr>
          <w:rFonts w:ascii="Times New Roman" w:hAnsi="Times New Roman"/>
          <w:b w:val="0"/>
          <w:color w:val="000000"/>
          <w:sz w:val="22"/>
        </w:rPr>
        <w:t>Laporan Hasil Analisis Komprehensif Berbasis Sintesis Data Empiris Multikampus dan Kerangka Teori Sosiologi Komunikasi</w:t>
      </w:r>
    </w:p>
    <w:p>
      <w:pPr>
        <w:spacing w:before="0" w:after="80" w:line="276" w:lineRule="auto"/>
        <w:jc w:val="center"/>
      </w:pPr>
      <w:r>
        <w:rPr>
          <w:rFonts w:ascii="Times New Roman" w:hAnsi="Times New Roman"/>
          <w:b/>
          <w:color w:val="000000"/>
          <w:sz w:val="22"/>
        </w:rPr>
        <w:t>Disusun Oleh:</w:t>
      </w:r>
    </w:p>
    <w:p>
      <w:pPr>
        <w:spacing w:before="0" w:after="40" w:line="276" w:lineRule="auto"/>
        <w:jc w:val="center"/>
      </w:pPr>
      <w:r>
        <w:rPr>
          <w:rFonts w:ascii="Times New Roman" w:hAnsi="Times New Roman"/>
          <w:b/>
          <w:color w:val="000000"/>
          <w:sz w:val="24"/>
        </w:rPr>
        <w:t>TIM ANALIS &amp; KELOMPOK RISET SOSIAL DIGITAL</w:t>
      </w:r>
    </w:p>
    <w:p>
      <w:pPr>
        <w:spacing w:before="0" w:after="960" w:line="276" w:lineRule="auto"/>
        <w:jc w:val="center"/>
      </w:pPr>
      <w:r>
        <w:rPr>
          <w:rFonts w:ascii="Times New Roman" w:hAnsi="Times New Roman"/>
          <w:b w:val="0"/>
          <w:color w:val="000000"/>
          <w:sz w:val="22"/>
        </w:rPr>
        <w:t>Divisi Kajian Kebijakan Publik, Perilaku Pemuda, dan Komunikasi Siber</w:t>
      </w:r>
    </w:p>
    <w:p>
      <w:pPr>
        <w:spacing w:before="0" w:after="40" w:line="276" w:lineRule="auto"/>
        <w:jc w:val="center"/>
      </w:pPr>
      <w:r>
        <w:rPr>
          <w:rFonts w:ascii="Times New Roman" w:hAnsi="Times New Roman"/>
          <w:b/>
          <w:color w:val="000000"/>
          <w:sz w:val="24"/>
        </w:rPr>
        <w:t>PUSAT STUDI KOMUNIKASI DIGITAL &amp; PERUBAHAN SOSIAL</w:t>
      </w:r>
    </w:p>
    <w:p>
      <w:pPr>
        <w:spacing w:before="0" w:after="40" w:line="276" w:lineRule="auto"/>
        <w:jc w:val="center"/>
      </w:pPr>
      <w:r>
        <w:rPr>
          <w:rFonts w:ascii="Times New Roman" w:hAnsi="Times New Roman"/>
          <w:b/>
          <w:color w:val="000000"/>
          <w:sz w:val="24"/>
        </w:rPr>
        <w:t>DEPARTEMEN ILMU SOSIAL DAN PENDIDIKAN</w:t>
      </w:r>
    </w:p>
    <w:p>
      <w:pPr>
        <w:spacing w:before="0" w:after="0" w:line="276" w:lineRule="auto"/>
        <w:jc w:val="center"/>
      </w:pPr>
      <w:r>
        <w:rPr>
          <w:rFonts w:ascii="Times New Roman" w:hAnsi="Times New Roman"/>
          <w:b/>
          <w:color w:val="000000"/>
          <w:sz w:val="24"/>
        </w:rPr>
        <w:t>2026</w:t>
      </w:r>
    </w:p>
    <w:p>
      <w:r>
        <w:br w:type="page"/>
      </w:r>
    </w:p>
    <w:p>
      <w:pPr>
        <w:spacing w:before="240" w:after="240" w:line="276" w:lineRule="auto"/>
        <w:jc w:val="center"/>
      </w:pPr>
      <w:r>
        <w:rPr>
          <w:rFonts w:ascii="Times New Roman" w:hAnsi="Times New Roman"/>
          <w:b/>
          <w:color w:val="000000"/>
          <w:sz w:val="26"/>
        </w:rPr>
        <w:t>RINGKASAN EKSEKUTIF</w:t>
      </w:r>
    </w:p>
    <w:p>
      <w:pPr>
        <w:spacing w:before="0" w:after="120" w:line="360" w:lineRule="auto"/>
        <w:ind w:firstLine="720"/>
        <w:jc w:val="both"/>
      </w:pPr>
      <w:r>
        <w:rPr>
          <w:rFonts w:ascii="Times New Roman" w:hAnsi="Times New Roman"/>
          <w:b w:val="0"/>
          <w:i w:val="0"/>
          <w:color w:val="000000"/>
          <w:sz w:val="24"/>
        </w:rPr>
        <w:t>Laporan analisis ini menyajikan sintesis empiris dan evaluasi kritis multidimensional mengenai dampak masif platformisasi media sosial (khususnya TikTok, Instagram, X/Twitter, dan YouTube) terhadap mahasiswa di Indonesia. Berdasarkan integrasi data dari lebih dari 30 penelitian empiris perguruan tinggi terakreditasi dan basis data ilmiah internasional (2020–2025), generasi muda berusia 18–25 tahun merepresentasikan lebih dari 70% populasi pengguna digital aktif dengan tingkat konsumsi harian melampaui ambang batas moderat (40,7% mengakses &gt;6 jam per hari).</w:t>
      </w:r>
    </w:p>
    <w:p>
      <w:pPr>
        <w:spacing w:before="0" w:after="120" w:line="360" w:lineRule="auto"/>
        <w:ind w:firstLine="720"/>
        <w:jc w:val="both"/>
      </w:pPr>
      <w:r>
        <w:rPr>
          <w:rFonts w:ascii="Times New Roman" w:hAnsi="Times New Roman"/>
          <w:b w:val="0"/>
          <w:i w:val="0"/>
          <w:color w:val="000000"/>
          <w:sz w:val="24"/>
        </w:rPr>
        <w:t>Analisis ini mengungkap tiga proposisi kunci: Pertama, dominasi rasa percaya diri terhadap identitas sosial dibandingkan identitas nasional dipicu oleh efisiensi validasi algoritmik instan (dopaminergik), agensi kurasi mandiri (self-determined identity), serta kosmopolitanisme subkultur transnasional, sementara simbol kenegaraan terdevaluasi akibat sinisme politik. Kedua, persepsi identitas diri mahasiswa terdisrupsi secara sistemik melalui dramaturgi panggung depan (front stage), komparasi sosial ke atas (upward social comparison), efek ruang gema (echo chamber), dan keterikatan emosional parasosial terhadap figur kreator (R² mencapai 25,3% hingga 59,4%). Ketiga, pengaruh platform digital terhadap gaya hidup berada pada magnitudo dominan-kritis, terbukti dari sumbangan 88,8% terhadap perilaku konsumtif/hedonis (studi UNTAR), 63,9% variansi adopsi mode (studi UMB), serta timbulnya disrupsi atensi kognitif dan distres kesehatan mental (52,2% mengalami defisit kepercayaan diri akibat paparan komentar daring).</w:t>
      </w:r>
    </w:p>
    <w:p>
      <w:pPr>
        <w:spacing w:before="0" w:after="120" w:line="360" w:lineRule="auto"/>
        <w:ind w:firstLine="720"/>
        <w:jc w:val="both"/>
      </w:pPr>
      <w:r>
        <w:rPr>
          <w:rFonts w:ascii="Times New Roman" w:hAnsi="Times New Roman"/>
          <w:b w:val="0"/>
          <w:i w:val="0"/>
          <w:color w:val="000000"/>
          <w:sz w:val="24"/>
        </w:rPr>
        <w:t>Atas dasar temuan tersebut, laporan ini memformulasikan Tri-Level Policy Framework yang mengintegrasikan penguatan agensi digital mindfulness di tingkat individu, integrasi literasi digital kritis dalam kurikulum perguruan tinggi, serta rekonstruksi narasi kebudayaan publik oleh regulator guna memitigasi risiko disrupsi sosial budaya secara berkelanjutan.</w:t>
      </w:r>
    </w:p>
    <w:p>
      <w:pPr>
        <w:spacing w:before="160" w:after="80"/>
      </w:pPr>
      <w:r>
        <w:rPr>
          <w:rFonts w:ascii="Times New Roman" w:hAnsi="Times New Roman"/>
          <w:b/>
          <w:sz w:val="22"/>
        </w:rPr>
        <w:t>Tabel E.1 Ringkasan Metrik Kunci Dampak Platform Digital</w:t>
      </w:r>
    </w:p>
    <w:tbl>
      <w:tblPr>
        <w:tblW w:type="auto" w:w="0"/>
        <w:jc w:val="center"/>
        <w:tblLayout w:type="fixed"/>
        <w:tblLook w:firstColumn="1" w:firstRow="1" w:lastColumn="0" w:lastRow="0" w:noHBand="0" w:noVBand="1" w:val="04A0"/>
      </w:tblPr>
      <w:tblGrid>
        <w:gridCol w:w="2280"/>
        <w:gridCol w:w="2280"/>
        <w:gridCol w:w="2280"/>
        <w:gridCol w:w="2280"/>
      </w:tblGrid>
      <w:tr>
        <w:tc>
          <w:tcPr>
            <w:tcW w:type="dxa" w:w="2592"/>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Dimensi Analisis</w:t>
            </w:r>
          </w:p>
        </w:tc>
        <w:tc>
          <w:tcPr>
            <w:tcW w:type="dxa" w:w="2160"/>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Indikator Utama</w:t>
            </w:r>
          </w:p>
        </w:tc>
        <w:tc>
          <w:tcPr>
            <w:tcW w:type="dxa" w:w="2448"/>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Temuan Empiris Kunci</w:t>
            </w:r>
          </w:p>
        </w:tc>
        <w:tc>
          <w:tcPr>
            <w:tcW w:type="dxa" w:w="2160"/>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Tingkat Dampak</w:t>
            </w:r>
          </w:p>
        </w:tc>
      </w:tr>
      <w:tr>
        <w:tc>
          <w:tcPr>
            <w:tcW w:type="dxa" w:w="259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Identitas &amp; Afinitas</w:t>
            </w:r>
          </w:p>
        </w:tc>
        <w:tc>
          <w:tcPr>
            <w:tcW w:type="dxa" w:w="216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Validasi vs Kebangsaan</w:t>
            </w:r>
          </w:p>
        </w:tc>
        <w:tc>
          <w:tcPr>
            <w:tcW w:type="dxa" w:w="2448"/>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22,2% akses budaya harian; 92% sadar pasif; r=0,253 identitas kreator</w:t>
            </w:r>
          </w:p>
        </w:tc>
        <w:tc>
          <w:tcPr>
            <w:tcW w:type="dxa" w:w="216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Tinggi (Struktural)</w:t>
            </w:r>
          </w:p>
        </w:tc>
      </w:tr>
      <w:tr>
        <w:tc>
          <w:tcPr>
            <w:tcW w:type="dxa" w:w="259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Konstruk Diri &amp; Psikis</w:t>
            </w:r>
          </w:p>
        </w:tc>
        <w:tc>
          <w:tcPr>
            <w:tcW w:type="dxa" w:w="216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Komparasi &amp; Stigma</w:t>
            </w:r>
          </w:p>
        </w:tc>
        <w:tc>
          <w:tcPr>
            <w:tcW w:type="dxa" w:w="2448"/>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R² = 59,4% pengaruh stigma; 52,2% defisit rasa percaya diri</w:t>
            </w:r>
          </w:p>
        </w:tc>
        <w:tc>
          <w:tcPr>
            <w:tcW w:type="dxa" w:w="216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Kritis (Psikososial)</w:t>
            </w:r>
          </w:p>
        </w:tc>
      </w:tr>
      <w:tr>
        <w:tc>
          <w:tcPr>
            <w:tcW w:type="dxa" w:w="259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Perilaku Ekonomi</w:t>
            </w:r>
          </w:p>
        </w:tc>
        <w:tc>
          <w:tcPr>
            <w:tcW w:type="dxa" w:w="216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Gaya Hidup &amp; Hedonisme</w:t>
            </w:r>
          </w:p>
        </w:tc>
        <w:tc>
          <w:tcPr>
            <w:tcW w:type="dxa" w:w="2448"/>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R² = 88,8% gaya hedonis; R² = 63,9% pilihan fashion; FOMO/Paylater</w:t>
            </w:r>
          </w:p>
        </w:tc>
        <w:tc>
          <w:tcPr>
            <w:tcW w:type="dxa" w:w="216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Dominan (Ekonomis)</w:t>
            </w:r>
          </w:p>
        </w:tc>
      </w:tr>
      <w:tr>
        <w:tc>
          <w:tcPr>
            <w:tcW w:type="dxa" w:w="2592"/>
            <w:tcBorders>
              <w:top w:val="none" w:sz="0" w:space="0" w:color="auto"/>
              <w:left w:val="none" w:sz="0" w:space="0" w:color="auto"/>
              <w:bottom w:val="single" w:sz="6" w:space="0" w:color="auto"/>
              <w:right w:val="none" w:sz="0" w:space="0" w:color="auto"/>
            </w:tcBorders>
          </w:tcPr>
          <w:p>
            <w:pPr>
              <w:spacing w:before="60" w:after="60" w:line="240" w:lineRule="auto"/>
              <w:jc w:val="left"/>
            </w:pPr>
            <w:r>
              <w:rPr>
                <w:rFonts w:ascii="Times New Roman" w:hAnsi="Times New Roman"/>
                <w:sz w:val="20"/>
              </w:rPr>
              <w:t>Waktu &amp; Fungsi Kognitif</w:t>
            </w:r>
          </w:p>
        </w:tc>
        <w:tc>
          <w:tcPr>
            <w:tcW w:type="dxa" w:w="2160"/>
            <w:tcBorders>
              <w:top w:val="none" w:sz="0" w:space="0" w:color="auto"/>
              <w:left w:val="none" w:sz="0" w:space="0" w:color="auto"/>
              <w:bottom w:val="single" w:sz="6" w:space="0" w:color="auto"/>
              <w:right w:val="none" w:sz="0" w:space="0" w:color="auto"/>
            </w:tcBorders>
          </w:tcPr>
          <w:p>
            <w:pPr>
              <w:spacing w:before="60" w:after="60" w:line="240" w:lineRule="auto"/>
              <w:jc w:val="left"/>
            </w:pPr>
            <w:r>
              <w:rPr>
                <w:rFonts w:ascii="Times New Roman" w:hAnsi="Times New Roman"/>
                <w:sz w:val="20"/>
              </w:rPr>
              <w:t>Durasi Paparan &amp; Fokus</w:t>
            </w:r>
          </w:p>
        </w:tc>
        <w:tc>
          <w:tcPr>
            <w:tcW w:type="dxa" w:w="2448"/>
            <w:tcBorders>
              <w:top w:val="none" w:sz="0" w:space="0" w:color="auto"/>
              <w:left w:val="none" w:sz="0" w:space="0" w:color="auto"/>
              <w:bottom w:val="single" w:sz="6" w:space="0" w:color="auto"/>
              <w:right w:val="none" w:sz="0" w:space="0" w:color="auto"/>
            </w:tcBorders>
          </w:tcPr>
          <w:p>
            <w:pPr>
              <w:spacing w:before="60" w:after="60" w:line="240" w:lineRule="auto"/>
              <w:jc w:val="left"/>
            </w:pPr>
            <w:r>
              <w:rPr>
                <w:rFonts w:ascii="Times New Roman" w:hAnsi="Times New Roman"/>
                <w:sz w:val="20"/>
              </w:rPr>
              <w:t>40,7% mahasiswa &gt;6 jam/hari; degradasi rentang atensi teks panjang</w:t>
            </w:r>
          </w:p>
        </w:tc>
        <w:tc>
          <w:tcPr>
            <w:tcW w:type="dxa" w:w="2160"/>
            <w:tcBorders>
              <w:top w:val="none" w:sz="0"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sz w:val="20"/>
              </w:rPr>
              <w:t>Signifikan (Kognitif)</w:t>
            </w:r>
          </w:p>
        </w:tc>
      </w:tr>
    </w:tbl>
    <w:p>
      <w:r>
        <w:br w:type="page"/>
      </w:r>
    </w:p>
    <w:p>
      <w:pPr>
        <w:spacing w:before="240" w:after="240" w:line="276" w:lineRule="auto"/>
        <w:jc w:val="center"/>
      </w:pPr>
      <w:r>
        <w:rPr>
          <w:rFonts w:ascii="Times New Roman" w:hAnsi="Times New Roman"/>
          <w:b/>
          <w:color w:val="000000"/>
          <w:sz w:val="26"/>
        </w:rPr>
        <w:t>DAFTAR ISI</w:t>
      </w:r>
    </w:p>
    <w:tbl>
      <w:tblPr>
        <w:tblW w:type="auto" w:w="0"/>
        <w:jc w:val="center"/>
        <w:tblLayout w:type="fixed"/>
        <w:tblLook w:firstColumn="1" w:firstRow="1" w:lastColumn="0" w:lastRow="0" w:noHBand="0" w:noVBand="1" w:val="04A0"/>
      </w:tblPr>
      <w:tblGrid>
        <w:gridCol w:w="4561"/>
        <w:gridCol w:w="4561"/>
      </w:tblGrid>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b/>
                <w:sz w:val="22"/>
              </w:rPr>
              <w:t>RINGKASAN EKSEKUTIF</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b/>
                <w:sz w:val="22"/>
              </w:rPr>
              <w:t>i</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b/>
                <w:sz w:val="22"/>
              </w:rPr>
              <w:t>DAFTAR ISI</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b/>
                <w:sz w:val="22"/>
              </w:rPr>
              <w:t>ii</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b/>
                <w:sz w:val="22"/>
              </w:rPr>
              <w:t>DAFTAR TABEL DAN GAMBAR</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b/>
                <w:sz w:val="22"/>
              </w:rPr>
              <w:t>iii</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b/>
                <w:sz w:val="22"/>
              </w:rPr>
              <w:t>BAB I PENDAHULUAN &amp; KERANGKA ANALISIS STRATEGIS</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b/>
                <w:sz w:val="22"/>
              </w:rPr>
              <w:t>1</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1.1 Latar Belakang Makro dan Lanskap Digitalisasi</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1.2 Artikulasi Problem Statement dan Pertanyaan Analitis</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2</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1.3 Model Konseptual dan Arsitektur Variabel Analisis</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3</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1.4 Signifikansi dan Batasan Analisis</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3</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b/>
                <w:sz w:val="22"/>
              </w:rPr>
              <w:t>BAB II METODOLOGI ANALISIS DAN KORPUS DATA</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b/>
                <w:sz w:val="22"/>
              </w:rPr>
              <w:t>4</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2.1 Desain Penelitian &amp; Protokol Meta-Sintesis</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4</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2.2 Karakteristik Korpus Data Empiris (N &gt; 30 Studi)</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4</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2.3 Validitas Analisis dan Triangulasi Multi-Metode</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5</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b/>
                <w:sz w:val="22"/>
              </w:rPr>
              <w:t>BAB III KERANGKA TEORETIS DAN LANDASAN EKSPLANATORI</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b/>
                <w:sz w:val="22"/>
              </w:rPr>
              <w:t>6</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3.1 Teori Identitas Sosial (Social Identity Theory)</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6</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3.2 Teori Dramaturgi Digital dan Manajemen Impresi</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6</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3.3 Teori Komparasi Sosial dan Evaluasi Konsep Diri</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7</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3.4 Teori Simulakra, Hiperrealitas, dan Konsumsi Simbolik</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7</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3.5 Teori Uses &amp; Gratifications dan Filter Bubble Algoritmik</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8</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b/>
                <w:sz w:val="22"/>
              </w:rPr>
              <w:t>BAB IV ANALISIS TEMUAN EMPIRIS DAN DEKOMPOSISI KAUSAL</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b/>
                <w:sz w:val="22"/>
              </w:rPr>
              <w:t>9</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4.1 Dekomposisi Kausal: Identitas Sosial vis-à-vis Identitas Nasional</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9</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4.1.1 Validasi Algoritmik Instan vs Keabstrakan Narasi Kebangsaan</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9</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4.1.2 Agensi Kurasi Otonom (Self-Determined Identity)</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10</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4.1.3 Penetrasi Kosmopolitanisme Digital dan Budaya Global</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11</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4.1.4 Sinisme Politik dan Devaluasi Simbol Publik Kenegaraan</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12</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4.2 Mekanisme Rekonstruksi Konsep Diri dan Persepsi Psikososial</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13</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4.2.1 Rekayasa Panggung Depan dan Komodifikasi Citra Diri</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13</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4.2.2 Komparasi Sosial ke Atas dan Kerentanan Konsep Diri Mahasiswa</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14</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4.2.3 Ruang Gema Algoritmik dan Penguncian Realitas Subkultur</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15</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4.2.4 Interaksi Parasosial dan Adopsi Otoritas Nilai Figur Idola</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16</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4.3 Sintesis Kuantitatif Pengaruh terhadap Transformasi Gaya Hidup</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17</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4.3.1 Matriks Komparatif Data Empiris Multikampus di Indonesia</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17</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4.3.2 Dimensi Ekonomi &amp; Finansial: Hedonisme dan Lifestyle Inflation (R² 88,8%)</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18</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4.3.3 Dimensi Mode dan Estetika: Hegemoni Video Pendek (R² 63,9%)</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19</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4.3.4 Dimensi Kognisi dan Waktu: Doomscrolling dan Erosi Fokus Akademik</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20</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4.3.5 Dimensi Sosio-Linguistik: Slang Digital dan Dokumentasi Kompulsif</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21</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4.3.6 Dimensi Kesehatan Mental: Distres Identitas dan Ketidakpuasan Tubuh</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22</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b/>
                <w:sz w:val="22"/>
              </w:rPr>
              <w:t>BAB V MATRIKS ANALISIS RISIKO DAN EVALUASI DAMPAK LINTAS SEKTOR</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b/>
                <w:sz w:val="22"/>
              </w:rPr>
              <w:t>23</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5.1 Matriks Evaluasi Risiko Dampak Platformisasi Digital</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23</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5.2 Evaluasi Gap Kebijakan Literasi Digital Perguruan Tinggi</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24</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b/>
                <w:sz w:val="22"/>
              </w:rPr>
              <w:t>BAB VI KESIMPULAN STRATEGIS DAN PETA JALAN REKOMENDASI</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b/>
                <w:sz w:val="22"/>
              </w:rPr>
              <w:t>25</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6.1 Kesimpulan Analisis</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25</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sz w:val="22"/>
              </w:rPr>
              <w:t xml:space="preserve">   6.2 Peta Jalan Kebijakan Tiga Tingkat (Tri-Level Policy Roadmap)</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sz w:val="22"/>
              </w:rPr>
              <w:t>26</w:t>
            </w:r>
          </w:p>
        </w:tc>
      </w:tr>
      <w:tr>
        <w:tc>
          <w:tcPr>
            <w:tcW w:type="dxa" w:w="8208"/>
            <w:tcBorders>
              <w:top w:val="none" w:sz="0" w:space="0" w:color="auto"/>
              <w:left w:val="none" w:sz="0" w:space="0" w:color="auto"/>
              <w:bottom w:val="none" w:sz="0" w:space="0" w:color="auto"/>
              <w:right w:val="none" w:sz="0" w:space="0" w:color="auto"/>
            </w:tcBorders>
          </w:tcPr>
          <w:p>
            <w:pPr>
              <w:spacing w:before="20" w:after="20" w:line="276" w:lineRule="auto"/>
              <w:jc w:val="left"/>
            </w:pPr>
            <w:r>
              <w:rPr>
                <w:rFonts w:ascii="Times New Roman" w:hAnsi="Times New Roman"/>
                <w:b/>
                <w:sz w:val="22"/>
              </w:rPr>
              <w:t>DAFTAR PUSTAKA</w:t>
            </w:r>
          </w:p>
        </w:tc>
        <w:tc>
          <w:tcPr>
            <w:tcW w:type="dxa" w:w="1152"/>
            <w:tcBorders>
              <w:top w:val="none" w:sz="0" w:space="0" w:color="auto"/>
              <w:left w:val="none" w:sz="0" w:space="0" w:color="auto"/>
              <w:bottom w:val="none" w:sz="0" w:space="0" w:color="auto"/>
              <w:right w:val="none" w:sz="0" w:space="0" w:color="auto"/>
            </w:tcBorders>
          </w:tcPr>
          <w:p>
            <w:pPr>
              <w:spacing w:before="20" w:after="20" w:line="276" w:lineRule="auto"/>
              <w:jc w:val="right"/>
            </w:pPr>
            <w:r>
              <w:rPr>
                <w:rFonts w:ascii="Times New Roman" w:hAnsi="Times New Roman"/>
                <w:b/>
                <w:sz w:val="22"/>
              </w:rPr>
              <w:t>28</w:t>
            </w:r>
          </w:p>
        </w:tc>
      </w:tr>
    </w:tbl>
    <w:p>
      <w:r>
        <w:br w:type="page"/>
      </w:r>
    </w:p>
    <w:p>
      <w:pPr>
        <w:spacing w:before="280" w:after="120" w:line="360" w:lineRule="auto"/>
        <w:jc w:val="left"/>
      </w:pPr>
      <w:r>
        <w:rPr>
          <w:rFonts w:ascii="Times New Roman" w:hAnsi="Times New Roman"/>
          <w:b/>
          <w:color w:val="000000"/>
          <w:sz w:val="24"/>
        </w:rPr>
        <w:t>BAB I PENDAHULUAN &amp; KERANGKA ANALISIS STRATEGIS</w:t>
      </w:r>
    </w:p>
    <w:p>
      <w:pPr>
        <w:spacing w:before="200" w:after="80" w:line="360" w:lineRule="auto"/>
        <w:jc w:val="left"/>
      </w:pPr>
      <w:r>
        <w:rPr>
          <w:rFonts w:ascii="Times New Roman" w:hAnsi="Times New Roman"/>
          <w:b/>
          <w:color w:val="000000"/>
          <w:sz w:val="24"/>
        </w:rPr>
        <w:t>1.1 Latar Belakang Makro dan Lanskap Digitalisasi</w:t>
      </w:r>
    </w:p>
    <w:p>
      <w:pPr>
        <w:spacing w:before="0" w:after="120" w:line="360" w:lineRule="auto"/>
        <w:ind w:firstLine="720"/>
        <w:jc w:val="both"/>
      </w:pPr>
      <w:r>
        <w:rPr>
          <w:rFonts w:ascii="Times New Roman" w:hAnsi="Times New Roman"/>
          <w:b w:val="0"/>
          <w:i w:val="0"/>
          <w:color w:val="000000"/>
          <w:sz w:val="24"/>
        </w:rPr>
        <w:t>Arsitektur komunikasi global pada dekade ketiga abad ke-21 telah mengalami pergeseran paradigmatik fundamental dari pola interaksi terestrial menuju platformisasi digital yang serba mencakup. Di Indonesia, transformasi ini termanifestasi secara paling intensif pada kelompok usia emerging adulthood (18–25 tahun), yang secara demografis didominasi oleh populasi mahasiswa perguruan tinggi. Berdasarkan data industri komunikasi digital terpadu (We Are Social &amp; Kementerian Komunikasi dan Informatika, 2024), kelompok demografis muda ini menyumbang lebih dari 70% dari total pengguna aktif media sosial nasional.</w:t>
      </w:r>
    </w:p>
    <w:p>
      <w:pPr>
        <w:spacing w:before="0" w:after="120" w:line="360" w:lineRule="auto"/>
        <w:ind w:firstLine="720"/>
        <w:jc w:val="both"/>
      </w:pPr>
      <w:r>
        <w:rPr>
          <w:rFonts w:ascii="Times New Roman" w:hAnsi="Times New Roman"/>
          <w:b w:val="0"/>
          <w:i w:val="0"/>
          <w:color w:val="000000"/>
          <w:sz w:val="24"/>
        </w:rPr>
        <w:t>Akses harian terhadap platform media sosial seperti TikTok, Instagram, X (Twitter), dan YouTube tidak lagi sekadar berfungsi sebagai saluran komunikasi interpersonal sekunder, melainkan telah bermutasi menjadi sebuah ekosistem sosial primer (primary socializing agent). Ruang siber ini secara aktif mendikte pola kognisi, referensi nilai, mekanisme sosialisasi, dan konstruksi identitas diri generasi muda. Sebanyak 40,7% mahasiswa tercatat menghabiskan waktu lebih dari 6 jam setiap hari di ruang digital (Nadeak et al., 2025), dengan TikTok dan Instagram beroperasi sebagai episentrum kurasi visual dan pertukaran simbol sosial.</w:t>
      </w:r>
    </w:p>
    <w:p>
      <w:pPr>
        <w:spacing w:before="200" w:after="80" w:line="360" w:lineRule="auto"/>
        <w:jc w:val="left"/>
      </w:pPr>
      <w:r>
        <w:rPr>
          <w:rFonts w:ascii="Times New Roman" w:hAnsi="Times New Roman"/>
          <w:b/>
          <w:color w:val="000000"/>
          <w:sz w:val="24"/>
        </w:rPr>
        <w:t>1.2 Artikulasi Problem Statement dan Pertanyaan Analitis</w:t>
      </w:r>
    </w:p>
    <w:p>
      <w:pPr>
        <w:spacing w:before="0" w:after="120" w:line="360" w:lineRule="auto"/>
        <w:ind w:firstLine="720"/>
        <w:jc w:val="both"/>
      </w:pPr>
      <w:r>
        <w:rPr>
          <w:rFonts w:ascii="Times New Roman" w:hAnsi="Times New Roman"/>
          <w:b w:val="0"/>
          <w:i w:val="0"/>
          <w:color w:val="000000"/>
          <w:sz w:val="24"/>
        </w:rPr>
        <w:t>Penetrasi teknologi informasi yang sedemikian masif memunculkan sejumlah anomali struktural pada tingkat identitas personal dan sosiokultural mahasiswa. Terdapat tiga titik kritis (inflection points) yang menjadi fokus investigasi dalam laporan analisis ini:</w:t>
      </w:r>
    </w:p>
    <w:p>
      <w:pPr>
        <w:spacing w:before="0" w:after="120" w:line="360" w:lineRule="auto"/>
        <w:jc w:val="both"/>
      </w:pPr>
      <w:r>
        <w:rPr>
          <w:rFonts w:ascii="Times New Roman" w:hAnsi="Times New Roman"/>
          <w:b w:val="0"/>
          <w:i w:val="0"/>
          <w:color w:val="000000"/>
          <w:sz w:val="24"/>
        </w:rPr>
        <w:t>1. Kesenjangan Afinitas Identitas: Mengapa mahasiswa memperlihatkan tingkat kepercayaan diri dan keterikatan afektif yang jauh lebih tinggi pada identitas sosial digital (subkultur, komunitas minat, fandom transnasional) dibandingkan pada identitas nasional kenegaraan?</w:t>
      </w:r>
    </w:p>
    <w:p>
      <w:pPr>
        <w:spacing w:before="0" w:after="120" w:line="360" w:lineRule="auto"/>
        <w:jc w:val="both"/>
      </w:pPr>
      <w:r>
        <w:rPr>
          <w:rFonts w:ascii="Times New Roman" w:hAnsi="Times New Roman"/>
          <w:b w:val="0"/>
          <w:i w:val="0"/>
          <w:color w:val="000000"/>
          <w:sz w:val="24"/>
        </w:rPr>
        <w:t>2. Disrupsi Konsep Diri &amp; Mekanisme Psikososial: Bagaimana algoritma kurasi konten, interaksi parasosial, dan komparasi sosial digital merekonstruksi persepsi identitas diri mahasiswa hingga menimbulkan distorsi evaluasi diri?</w:t>
      </w:r>
    </w:p>
    <w:p>
      <w:pPr>
        <w:spacing w:before="0" w:after="120" w:line="360" w:lineRule="auto"/>
        <w:jc w:val="both"/>
      </w:pPr>
      <w:r>
        <w:rPr>
          <w:rFonts w:ascii="Times New Roman" w:hAnsi="Times New Roman"/>
          <w:b w:val="0"/>
          <w:i w:val="0"/>
          <w:color w:val="000000"/>
          <w:sz w:val="24"/>
        </w:rPr>
        <w:t>3. Magnitudo Transformasi Gaya Hidup: Sejauh mana dan melalui mekanisme apa saja konsumsi media sosial memicu pergeseran pola konsumsi finansial, preferensi estetika mode, manajemen waktu kognitif, serta kesehatan mental mahasiswa?</w:t>
      </w:r>
    </w:p>
    <w:p>
      <w:pPr>
        <w:spacing w:before="200" w:after="80" w:line="360" w:lineRule="auto"/>
        <w:jc w:val="left"/>
      </w:pPr>
      <w:r>
        <w:rPr>
          <w:rFonts w:ascii="Times New Roman" w:hAnsi="Times New Roman"/>
          <w:b/>
          <w:color w:val="000000"/>
          <w:sz w:val="24"/>
        </w:rPr>
        <w:t>1.3 Model Konseptual dan Arsitektur Variabel Analisis</w:t>
      </w:r>
    </w:p>
    <w:p>
      <w:pPr>
        <w:spacing w:before="0" w:after="120" w:line="360" w:lineRule="auto"/>
        <w:ind w:firstLine="720"/>
        <w:jc w:val="both"/>
      </w:pPr>
      <w:r>
        <w:rPr>
          <w:rFonts w:ascii="Times New Roman" w:hAnsi="Times New Roman"/>
          <w:b w:val="0"/>
          <w:i w:val="0"/>
          <w:color w:val="000000"/>
          <w:sz w:val="24"/>
        </w:rPr>
        <w:t>Untuk menganalisis fenomena ini secara analitis dan terukur, laporan ini membangun sebuah kerangka konseptual triadik yang menghubungkan:</w:t>
      </w:r>
    </w:p>
    <w:p>
      <w:pPr>
        <w:spacing w:before="0" w:after="120" w:line="360" w:lineRule="auto"/>
        <w:jc w:val="both"/>
      </w:pPr>
      <w:r>
        <w:rPr>
          <w:rFonts w:ascii="Times New Roman" w:hAnsi="Times New Roman"/>
          <w:b w:val="0"/>
          <w:i w:val="0"/>
          <w:color w:val="000000"/>
          <w:sz w:val="24"/>
        </w:rPr>
        <w:t>• Variabel Independen (X): Intensitas dan Kualitas Penggunaan Media Sosial (durasi akses, derajat interaksi parasosial, keterpaparan algoritma kuratif, komparasi sosial aktif/pasif).</w:t>
      </w:r>
    </w:p>
    <w:p>
      <w:pPr>
        <w:spacing w:before="0" w:after="120" w:line="360" w:lineRule="auto"/>
        <w:jc w:val="both"/>
      </w:pPr>
      <w:r>
        <w:rPr>
          <w:rFonts w:ascii="Times New Roman" w:hAnsi="Times New Roman"/>
          <w:b w:val="0"/>
          <w:i w:val="0"/>
          <w:color w:val="000000"/>
          <w:sz w:val="24"/>
        </w:rPr>
        <w:t>• Variabel Intervening / Mediasi (M): Konstruksi Persepsi Identitas Diri (manajemen impresi dramaturgis front-stage, evaluasi konsep diri, fenomena filter bubble).</w:t>
      </w:r>
    </w:p>
    <w:p>
      <w:pPr>
        <w:spacing w:before="0" w:after="120" w:line="360" w:lineRule="auto"/>
        <w:jc w:val="both"/>
      </w:pPr>
      <w:r>
        <w:rPr>
          <w:rFonts w:ascii="Times New Roman" w:hAnsi="Times New Roman"/>
          <w:b w:val="0"/>
          <w:i w:val="0"/>
          <w:color w:val="000000"/>
          <w:sz w:val="24"/>
        </w:rPr>
        <w:t>• Variabel Dependen (Y1 &amp; Y2): Salience Identitas (Identitas Sosial vs Identitas Nasional) dan Transformasi Gaya Hidup Multidimensi (perilaku konsumtif hedonis, adopsi tren mode, disrupsi fokus kognitif, dinamika kesehatan mental).</w:t>
      </w:r>
    </w:p>
    <w:p>
      <w:pPr>
        <w:spacing w:before="200" w:after="80" w:line="360" w:lineRule="auto"/>
        <w:jc w:val="left"/>
      </w:pPr>
      <w:r>
        <w:rPr>
          <w:rFonts w:ascii="Times New Roman" w:hAnsi="Times New Roman"/>
          <w:b/>
          <w:color w:val="000000"/>
          <w:sz w:val="24"/>
        </w:rPr>
        <w:t>1.4 Signifikansi dan Batasan Analisis</w:t>
      </w:r>
    </w:p>
    <w:p>
      <w:pPr>
        <w:spacing w:before="0" w:after="120" w:line="360" w:lineRule="auto"/>
        <w:ind w:firstLine="720"/>
        <w:jc w:val="both"/>
      </w:pPr>
      <w:r>
        <w:rPr>
          <w:rFonts w:ascii="Times New Roman" w:hAnsi="Times New Roman"/>
          <w:b w:val="0"/>
          <w:i w:val="0"/>
          <w:color w:val="000000"/>
          <w:sz w:val="24"/>
        </w:rPr>
        <w:t>Laporan ini ditujukan untuk memberikan landasan saintifik berbasis bukti (evidence-based policy and institutional insights) bagi pengambil kebijakan di tingkat perguruan tinggi, pendidik, sosiolog, serta pembuat regulasi komunikasi siber. Analisis dibatasi pada korpus empiris mahasiswa Indonesia yang dipublikasikan dalam rentang waktu 2020–2025 dengan dukungan sintesis literatur internasional bereputasi.</w:t>
      </w:r>
    </w:p>
    <w:p>
      <w:pPr>
        <w:spacing w:before="280" w:after="120" w:line="360" w:lineRule="auto"/>
        <w:jc w:val="left"/>
      </w:pPr>
      <w:r>
        <w:rPr>
          <w:rFonts w:ascii="Times New Roman" w:hAnsi="Times New Roman"/>
          <w:b/>
          <w:color w:val="000000"/>
          <w:sz w:val="24"/>
        </w:rPr>
        <w:t>BAB II METODOLOGI ANALISIS DAN KORPUS DATA</w:t>
      </w:r>
    </w:p>
    <w:p>
      <w:pPr>
        <w:spacing w:before="200" w:after="80" w:line="360" w:lineRule="auto"/>
        <w:jc w:val="left"/>
      </w:pPr>
      <w:r>
        <w:rPr>
          <w:rFonts w:ascii="Times New Roman" w:hAnsi="Times New Roman"/>
          <w:b/>
          <w:color w:val="000000"/>
          <w:sz w:val="24"/>
        </w:rPr>
        <w:t>2.1 Desain Penelitian &amp; Protokol Meta-Sintesis</w:t>
      </w:r>
    </w:p>
    <w:p>
      <w:pPr>
        <w:spacing w:before="0" w:after="120" w:line="360" w:lineRule="auto"/>
        <w:ind w:firstLine="720"/>
        <w:jc w:val="both"/>
      </w:pPr>
      <w:r>
        <w:rPr>
          <w:rFonts w:ascii="Times New Roman" w:hAnsi="Times New Roman"/>
          <w:b w:val="0"/>
          <w:i w:val="0"/>
          <w:color w:val="000000"/>
          <w:sz w:val="24"/>
        </w:rPr>
        <w:t>Laporan ini menerapkan pendekatan Systematic Literature Review (SLR) yang dikombinasikan dengan teknik meta-sintesis data kuantitatif dan kualitatif. Protokol pengumpulan data merujuk pada standar PRISMA (Preferred Reporting Items for Systematic Reviews and Meta-Analyses) guna memastikan transparansi seleksi artikel dan validitas komparasi antarstudi.</w:t>
      </w:r>
    </w:p>
    <w:p>
      <w:pPr>
        <w:spacing w:before="200" w:after="80" w:line="360" w:lineRule="auto"/>
        <w:jc w:val="left"/>
      </w:pPr>
      <w:r>
        <w:rPr>
          <w:rFonts w:ascii="Times New Roman" w:hAnsi="Times New Roman"/>
          <w:b/>
          <w:color w:val="000000"/>
          <w:sz w:val="24"/>
        </w:rPr>
        <w:t>2.2 Karakteristik Korpus Data Empiris (N &gt; 30 Studi)</w:t>
      </w:r>
    </w:p>
    <w:p>
      <w:pPr>
        <w:spacing w:before="0" w:after="120" w:line="360" w:lineRule="auto"/>
        <w:ind w:firstLine="720"/>
        <w:jc w:val="both"/>
      </w:pPr>
      <w:r>
        <w:rPr>
          <w:rFonts w:ascii="Times New Roman" w:hAnsi="Times New Roman"/>
          <w:b w:val="0"/>
          <w:i w:val="0"/>
          <w:color w:val="000000"/>
          <w:sz w:val="24"/>
        </w:rPr>
        <w:t>Korpus data yang dianalisis mencakup lebih dari 30 penelitian empiris yang merepresentasikan keragaman geografis dan tipologi perguruan tinggi di Indonesia (Universitas Tarumanagara, UIN Sunan Gunung Djati Bandung, Universitas Airlangga, Universitas Jember, Universitas Negeri Manado, UIN Sumatera Utara, Universitas Muhammadiyah Bengkulu, Universitas HKBP Nommensen, FKIK Universitas Jambi, UPI YPTK Padang, dll.) serta studi global dari University of Groningen (Avci et al., 2024), Elsevier/Heliyon (Elsayed, 2021), dan Frontiers in Psychology (Gaitán-Aguilar et al., 2022).</w:t>
      </w:r>
    </w:p>
    <w:p>
      <w:pPr>
        <w:spacing w:before="200" w:after="80" w:line="360" w:lineRule="auto"/>
        <w:jc w:val="left"/>
      </w:pPr>
      <w:r>
        <w:rPr>
          <w:rFonts w:ascii="Times New Roman" w:hAnsi="Times New Roman"/>
          <w:b/>
          <w:color w:val="000000"/>
          <w:sz w:val="24"/>
        </w:rPr>
        <w:t>2.3 Validitas Analisis dan Triangulasi Multi-Metode</w:t>
      </w:r>
    </w:p>
    <w:p>
      <w:pPr>
        <w:spacing w:before="0" w:after="120" w:line="360" w:lineRule="auto"/>
        <w:ind w:firstLine="720"/>
        <w:jc w:val="both"/>
      </w:pPr>
      <w:r>
        <w:rPr>
          <w:rFonts w:ascii="Times New Roman" w:hAnsi="Times New Roman"/>
          <w:b w:val="0"/>
          <w:i w:val="0"/>
          <w:color w:val="000000"/>
          <w:sz w:val="24"/>
        </w:rPr>
        <w:t>Guna memitigasi bias metodologis, teknik triangulasi sumber dan metode diterapkan dengan menyandingkan data uji statistik parametrik (regresi linear sederhana, regresi ganda, koefisien determinasi R², uji signifikansi F dan t) dengan temuan kualitatif fenomenologis dan dramaturgis. Pendekatan ini memungkinkan analisis bergerak melampaui sekadar korelasi angka menuju eksplanasi kausal yang mendalam.</w:t>
      </w:r>
    </w:p>
    <w:p>
      <w:pPr>
        <w:spacing w:before="280" w:after="120" w:line="360" w:lineRule="auto"/>
        <w:jc w:val="left"/>
      </w:pPr>
      <w:r>
        <w:rPr>
          <w:rFonts w:ascii="Times New Roman" w:hAnsi="Times New Roman"/>
          <w:b/>
          <w:color w:val="000000"/>
          <w:sz w:val="24"/>
        </w:rPr>
        <w:t>BAB III KERANGKA TEORETIS DAN LANDASAN EKSPLANATORI</w:t>
      </w:r>
    </w:p>
    <w:p>
      <w:pPr>
        <w:spacing w:before="200" w:after="80" w:line="360" w:lineRule="auto"/>
        <w:jc w:val="left"/>
      </w:pPr>
      <w:r>
        <w:rPr>
          <w:rFonts w:ascii="Times New Roman" w:hAnsi="Times New Roman"/>
          <w:b/>
          <w:color w:val="000000"/>
          <w:sz w:val="24"/>
        </w:rPr>
        <w:t>3.1 Teori Identitas Sosial (Social Identity Theory - Tajfel &amp; Turner, 1979)</w:t>
      </w:r>
    </w:p>
    <w:p>
      <w:pPr>
        <w:spacing w:before="0" w:after="120" w:line="360" w:lineRule="auto"/>
        <w:ind w:firstLine="720"/>
        <w:jc w:val="both"/>
      </w:pPr>
      <w:r>
        <w:rPr>
          <w:rFonts w:ascii="Times New Roman" w:hAnsi="Times New Roman"/>
          <w:b w:val="0"/>
          <w:i w:val="0"/>
          <w:color w:val="000000"/>
          <w:sz w:val="24"/>
        </w:rPr>
        <w:t>Teori Identitas Sosial menegaskan bahwa konsep diri individu terikat secara inheren pada keanggotaan kelompok sosial (in-group) yang memberikan nilai positif dan makna emosional. Individu melakukan kategorisasi sosial untuk mengidentifikasi kelompok yang relevan, menginternalisasi norma kelompok tersebut, dan melakukan pembedaan sosial (social differentiation) terhadap kelompok luar (out-group). Dalam ekosistem digital, ruang siber meredefinisi in-group dari batas teritorial fisik menjadi batas afinitas algoritmik.</w:t>
      </w:r>
    </w:p>
    <w:p>
      <w:pPr>
        <w:spacing w:before="200" w:after="80" w:line="360" w:lineRule="auto"/>
        <w:jc w:val="left"/>
      </w:pPr>
      <w:r>
        <w:rPr>
          <w:rFonts w:ascii="Times New Roman" w:hAnsi="Times New Roman"/>
          <w:b/>
          <w:color w:val="000000"/>
          <w:sz w:val="24"/>
        </w:rPr>
        <w:t>3.2 Teori Dramaturgi Digital dan Manajemen Impresi (Erving Goffman, 1959)</w:t>
      </w:r>
    </w:p>
    <w:p>
      <w:pPr>
        <w:spacing w:before="0" w:after="120" w:line="360" w:lineRule="auto"/>
        <w:ind w:firstLine="720"/>
        <w:jc w:val="both"/>
      </w:pPr>
      <w:r>
        <w:rPr>
          <w:rFonts w:ascii="Times New Roman" w:hAnsi="Times New Roman"/>
          <w:b w:val="0"/>
          <w:i w:val="0"/>
          <w:color w:val="000000"/>
          <w:sz w:val="24"/>
        </w:rPr>
        <w:t>Erving Goffman membedah interaksi sosial sebagai sebuah pertunjukan panggung. Individu mengelola kesan (impression management) di panggung depan (front stage) agar selaras dengan harapan audiens, sementara panggung belakang (back stage) berfungsi sebagai ruang privat tempat individu melepaskan topeng sosialnya. Platform digital menyediakan sarana rekayasa front stage yang sangat canggih, memungkinkan kurasi visual, penyuntingan narasi, dan fabrikasi citra ideal yang terpisah dari realitas faktual.</w:t>
      </w:r>
    </w:p>
    <w:p>
      <w:pPr>
        <w:spacing w:before="200" w:after="80" w:line="360" w:lineRule="auto"/>
        <w:jc w:val="left"/>
      </w:pPr>
      <w:r>
        <w:rPr>
          <w:rFonts w:ascii="Times New Roman" w:hAnsi="Times New Roman"/>
          <w:b/>
          <w:color w:val="000000"/>
          <w:sz w:val="24"/>
        </w:rPr>
        <w:t>3.3 Teori Komparasi Sosial dan Evaluasi Konsep Diri (Leon Festinger, 1954)</w:t>
      </w:r>
    </w:p>
    <w:p>
      <w:pPr>
        <w:spacing w:before="0" w:after="120" w:line="360" w:lineRule="auto"/>
        <w:ind w:firstLine="720"/>
        <w:jc w:val="both"/>
      </w:pPr>
      <w:r>
        <w:rPr>
          <w:rFonts w:ascii="Times New Roman" w:hAnsi="Times New Roman"/>
          <w:b w:val="0"/>
          <w:i w:val="0"/>
          <w:color w:val="000000"/>
          <w:sz w:val="24"/>
        </w:rPr>
        <w:t>Festinger merumuskan bahwa individu memiliki dorongan psikologis untuk mengevaluasi kemampuan dan status pribadinya melalui perbandingan dengan orang lain. Komparasi sosial ke atas (upward social comparison) terhadap profil digital yang menampilkan narasi keberhasilan semu memicu disonansi kognitif, sindrom penipu (impostor syndrome), dan penurunan tingkat kepuasan hidup.</w:t>
      </w:r>
    </w:p>
    <w:p>
      <w:pPr>
        <w:spacing w:before="200" w:after="80" w:line="360" w:lineRule="auto"/>
        <w:jc w:val="left"/>
      </w:pPr>
      <w:r>
        <w:rPr>
          <w:rFonts w:ascii="Times New Roman" w:hAnsi="Times New Roman"/>
          <w:b/>
          <w:color w:val="000000"/>
          <w:sz w:val="24"/>
        </w:rPr>
        <w:t>3.4 Teori Simulakra, Hiperrealitas, dan Konsumsi Simbolik (Jean Baudrillard, 1981)</w:t>
      </w:r>
    </w:p>
    <w:p>
      <w:pPr>
        <w:spacing w:before="0" w:after="120" w:line="360" w:lineRule="auto"/>
        <w:ind w:firstLine="720"/>
        <w:jc w:val="both"/>
      </w:pPr>
      <w:r>
        <w:rPr>
          <w:rFonts w:ascii="Times New Roman" w:hAnsi="Times New Roman"/>
          <w:b w:val="0"/>
          <w:i w:val="0"/>
          <w:color w:val="000000"/>
          <w:sz w:val="24"/>
        </w:rPr>
        <w:t>Baudrillard mengidentifikasi bahwa masyarakat konsumsi modern tidak lagi bertransaksi atas dasar nilai guna (use value), melainkan nilai tanda (sign value). Konsumsi diarahkan untuk mereproduksi prestise dan status. Dalam fase hiperrealitas, representasi digital atas suatu objek atau pengalaman (foto makanan, suasana kafe) menjadi lebih nyata dan berharga daripada pengalaman fisiknya itu sendiri.</w:t>
      </w:r>
    </w:p>
    <w:p>
      <w:pPr>
        <w:spacing w:before="200" w:after="80" w:line="360" w:lineRule="auto"/>
        <w:jc w:val="left"/>
      </w:pPr>
      <w:r>
        <w:rPr>
          <w:rFonts w:ascii="Times New Roman" w:hAnsi="Times New Roman"/>
          <w:b/>
          <w:color w:val="000000"/>
          <w:sz w:val="24"/>
        </w:rPr>
        <w:t>3.5 Teori Uses &amp; Gratifications dan Filter Bubble Algoritmik</w:t>
      </w:r>
    </w:p>
    <w:p>
      <w:pPr>
        <w:spacing w:before="0" w:after="120" w:line="360" w:lineRule="auto"/>
        <w:ind w:firstLine="720"/>
        <w:jc w:val="both"/>
      </w:pPr>
      <w:r>
        <w:rPr>
          <w:rFonts w:ascii="Times New Roman" w:hAnsi="Times New Roman"/>
          <w:b w:val="0"/>
          <w:i w:val="0"/>
          <w:color w:val="000000"/>
          <w:sz w:val="24"/>
        </w:rPr>
        <w:t>Teori Uses and Gratifications memandang khalayak sebagai entitas aktif yang memilih media untuk memuaskan motif spesifik. Namun, dalam arsitektur platform modern, agensi audiens berinteraksi dengan algoritma rekomendasi terpersonalisasi yang memicu terbentuknya gelembung informasi (filter bubble) dan ruang gema (echo chamber), yang mengunci persepsi kognitif pengguna dalam satu realitas yang terisolasi.</w:t>
      </w:r>
    </w:p>
    <w:p>
      <w:pPr>
        <w:spacing w:before="280" w:after="120" w:line="360" w:lineRule="auto"/>
        <w:jc w:val="left"/>
      </w:pPr>
      <w:r>
        <w:rPr>
          <w:rFonts w:ascii="Times New Roman" w:hAnsi="Times New Roman"/>
          <w:b/>
          <w:color w:val="000000"/>
          <w:sz w:val="24"/>
        </w:rPr>
        <w:t>BAB IV ANALISIS TEMUAN EMPIRIS DAN DEKOMPOSISI KAUSAL</w:t>
      </w:r>
    </w:p>
    <w:p>
      <w:pPr>
        <w:spacing w:before="200" w:after="80" w:line="360" w:lineRule="auto"/>
        <w:jc w:val="left"/>
      </w:pPr>
      <w:r>
        <w:rPr>
          <w:rFonts w:ascii="Times New Roman" w:hAnsi="Times New Roman"/>
          <w:b/>
          <w:color w:val="000000"/>
          <w:sz w:val="24"/>
        </w:rPr>
        <w:t>4.1 Dekomposisi Kausal: Identitas Sosial vis-à-vis Identitas Nasional</w:t>
      </w:r>
    </w:p>
    <w:p>
      <w:pPr>
        <w:spacing w:before="0" w:after="120" w:line="360" w:lineRule="auto"/>
        <w:ind w:firstLine="720"/>
        <w:jc w:val="both"/>
      </w:pPr>
      <w:r>
        <w:rPr>
          <w:rFonts w:ascii="Times New Roman" w:hAnsi="Times New Roman"/>
          <w:b w:val="0"/>
          <w:i w:val="0"/>
          <w:color w:val="000000"/>
          <w:sz w:val="24"/>
        </w:rPr>
        <w:t>Sintesis komparatif terhadap data empiris mengonfirmasi hipotesis bahwa mahasiswa memperlihatkan asimetri afektif yang tajam: identitas sosial digital berposisi dominan dan sangat aktif, sedangkan identitas nasional bersifat pasif dan normatif. Empat determinan kausal utama berhasil didekomposisi:</w:t>
      </w:r>
    </w:p>
    <w:p>
      <w:pPr>
        <w:spacing w:before="120" w:after="60" w:line="360" w:lineRule="auto"/>
        <w:jc w:val="left"/>
      </w:pPr>
      <w:r>
        <w:rPr>
          <w:rFonts w:ascii="Times New Roman" w:hAnsi="Times New Roman"/>
          <w:b/>
          <w:i/>
          <w:color w:val="000000"/>
          <w:sz w:val="24"/>
        </w:rPr>
        <w:t>4.1.1 Validasi Algoritmik Instan vs Keabstrakan Narasi Kebangsaan</w:t>
      </w:r>
    </w:p>
    <w:p>
      <w:pPr>
        <w:spacing w:before="0" w:after="120" w:line="360" w:lineRule="auto"/>
        <w:ind w:firstLine="720"/>
        <w:jc w:val="both"/>
      </w:pPr>
      <w:r>
        <w:rPr>
          <w:rFonts w:ascii="Times New Roman" w:hAnsi="Times New Roman"/>
          <w:b w:val="0"/>
          <w:i w:val="0"/>
          <w:color w:val="000000"/>
          <w:sz w:val="24"/>
        </w:rPr>
        <w:t>Identitas sosial di platform TikTok, Instagram, dan X terhubung langsung dengan loop umpan balik dopaminergik. Setiap ekspresi subkultur (misalnya ulasan karya sastra, keterlibatan fandom, estetika streetwear) memperoleh reward langsung berupa metrics of worth: likes, komentar apresiatif, views, dan shares. Pengakuan in-group instan ini memperkuat harga diri (self-esteem) secara harian.</w:t>
      </w:r>
    </w:p>
    <w:p>
      <w:pPr>
        <w:spacing w:before="0" w:after="120" w:line="360" w:lineRule="auto"/>
        <w:ind w:firstLine="720"/>
        <w:jc w:val="both"/>
      </w:pPr>
      <w:r>
        <w:rPr>
          <w:rFonts w:ascii="Times New Roman" w:hAnsi="Times New Roman"/>
          <w:b w:val="0"/>
          <w:i w:val="0"/>
          <w:color w:val="000000"/>
          <w:sz w:val="24"/>
        </w:rPr>
        <w:t>Sebaliknya, identitas nasional bersandar pada simbol makro-kenegaraan (sejarah formal, batas teritorial, upacara) yang bersifat abstrak dan berjarak dari kebutuhan psikososial harian pemuda. Riset empiris Nadeak et al. (2025) di lingkungan kampus Kota Pematangsiantar mengungkap paradoks ini: sebanyak 92% mahasiswa secara verbal mengakui pentingnya identitas nasional, namun hanya 22,2% yang secara rutin mengonsumsi konten kebudayaan lokal setiap hari. Aktivitas digital harian didominasi secara mutlak oleh platform komersial: WhatsApp (69%), Instagram (62%), dan TikTok (60%).</w:t>
      </w:r>
    </w:p>
    <w:p>
      <w:pPr>
        <w:spacing w:before="120" w:after="60" w:line="360" w:lineRule="auto"/>
        <w:jc w:val="left"/>
      </w:pPr>
      <w:r>
        <w:rPr>
          <w:rFonts w:ascii="Times New Roman" w:hAnsi="Times New Roman"/>
          <w:b/>
          <w:i/>
          <w:color w:val="000000"/>
          <w:sz w:val="24"/>
        </w:rPr>
        <w:t>4.1.2 Agensi Kurasi Otonom (Self-Determined Identity)</w:t>
      </w:r>
    </w:p>
    <w:p>
      <w:pPr>
        <w:spacing w:before="0" w:after="120" w:line="360" w:lineRule="auto"/>
        <w:ind w:firstLine="720"/>
        <w:jc w:val="both"/>
      </w:pPr>
      <w:r>
        <w:rPr>
          <w:rFonts w:ascii="Times New Roman" w:hAnsi="Times New Roman"/>
          <w:b w:val="0"/>
          <w:i w:val="0"/>
          <w:color w:val="000000"/>
          <w:sz w:val="24"/>
        </w:rPr>
        <w:t>Identitas nasional adalah identitas terberi (ascribed identity) yang diterima tanpa opsi pemilihan. Sebaliknya, identitas sosial digital memberikan agensi penuh (achieved identity) di mana mahasiswa dapat merancang, memilih, dan memodifikasi kelompok afinitasnya sesuai preferensi personal. Riset kuantitatif Hanifah (2025) pada mahasiswa Sosiologi UIN Sunan Gunung Djati Bandung membuktikan bahwa figur kreator konten memberikan sumbangan pengaruh signifikan sebesar 25,3% terhadap pembentukan identitas sosial mahasiswa. Mahasiswa secara aktif mengadopsi idiom bahasa, preferensi estetika, dan kerangka berpikir kelompok daring karena proses tersebut dirasakan sebagai wujud otonomi pribadi.</w:t>
      </w:r>
    </w:p>
    <w:p>
      <w:pPr>
        <w:spacing w:before="120" w:after="60" w:line="360" w:lineRule="auto"/>
        <w:jc w:val="left"/>
      </w:pPr>
      <w:r>
        <w:rPr>
          <w:rFonts w:ascii="Times New Roman" w:hAnsi="Times New Roman"/>
          <w:b/>
          <w:i/>
          <w:color w:val="000000"/>
          <w:sz w:val="24"/>
        </w:rPr>
        <w:t>4.1.3 Penetrasi Kosmopolitanisme Digital dan Budaya Global</w:t>
      </w:r>
    </w:p>
    <w:p>
      <w:pPr>
        <w:spacing w:before="0" w:after="120" w:line="360" w:lineRule="auto"/>
        <w:ind w:firstLine="720"/>
        <w:jc w:val="both"/>
      </w:pPr>
      <w:r>
        <w:rPr>
          <w:rFonts w:ascii="Times New Roman" w:hAnsi="Times New Roman"/>
          <w:b w:val="0"/>
          <w:i w:val="0"/>
          <w:color w:val="000000"/>
          <w:sz w:val="24"/>
        </w:rPr>
        <w:t>Algoritma lintas batas menempatkan mahasiswa dalam pusaran budaya global (global youth subculture). Afinitas emosional terbangun melintasi batas-batas teritorial negara. Riset di FKIP Universitas HKBP Nommensen (2025) mencatat bahwa 37% mahasiswa mempersepsikan media sosial jauh lebih masif menyuplai budaya asing dibanding konten kearifan lokal, yang berakibat pada pembentukan identitas hibrida yang terlepas dari jangkar tradisi lokal.</w:t>
      </w:r>
    </w:p>
    <w:p>
      <w:pPr>
        <w:spacing w:before="120" w:after="60" w:line="360" w:lineRule="auto"/>
        <w:jc w:val="left"/>
      </w:pPr>
      <w:r>
        <w:rPr>
          <w:rFonts w:ascii="Times New Roman" w:hAnsi="Times New Roman"/>
          <w:b/>
          <w:i/>
          <w:color w:val="000000"/>
          <w:sz w:val="24"/>
        </w:rPr>
        <w:t>4.1.4 Sinisme Politik dan Devaluasi Simbol Publik Kenegaraan</w:t>
      </w:r>
    </w:p>
    <w:p>
      <w:pPr>
        <w:spacing w:before="0" w:after="120" w:line="360" w:lineRule="auto"/>
        <w:ind w:firstLine="720"/>
        <w:jc w:val="both"/>
      </w:pPr>
      <w:r>
        <w:rPr>
          <w:rFonts w:ascii="Times New Roman" w:hAnsi="Times New Roman"/>
          <w:b w:val="0"/>
          <w:i w:val="0"/>
          <w:color w:val="000000"/>
          <w:sz w:val="24"/>
        </w:rPr>
        <w:t>Ruang publik digital (khususnya X/Twitter) menjadi medium diseminasi kritik kebijakan publik, pengawasan terhadap korupsi, dan skeptisisme terhadap elite institusional. Fenomena ini memicu devaluasi nilai simbolik kenegaraan. Mahasiswa enggan mengekspresikan kebanggaan pada narasi formal kebangsaan yang dinilai mengalami kooptasi politis, dan mengalihkan komitmen identitasnya ke komunitas kreatif independen.</w:t>
      </w:r>
    </w:p>
    <w:p>
      <w:pPr>
        <w:spacing w:before="200" w:after="80" w:line="360" w:lineRule="auto"/>
        <w:jc w:val="left"/>
      </w:pPr>
      <w:r>
        <w:rPr>
          <w:rFonts w:ascii="Times New Roman" w:hAnsi="Times New Roman"/>
          <w:b/>
          <w:color w:val="000000"/>
          <w:sz w:val="24"/>
        </w:rPr>
        <w:t>4.2 Mekanisme Rekonstruksi Konsep Diri dan Persepsi Psikososial</w:t>
      </w:r>
    </w:p>
    <w:p>
      <w:pPr>
        <w:spacing w:before="0" w:after="120" w:line="360" w:lineRule="auto"/>
        <w:ind w:firstLine="720"/>
        <w:jc w:val="both"/>
      </w:pPr>
      <w:r>
        <w:rPr>
          <w:rFonts w:ascii="Times New Roman" w:hAnsi="Times New Roman"/>
          <w:b w:val="0"/>
          <w:i w:val="0"/>
          <w:color w:val="000000"/>
          <w:sz w:val="24"/>
        </w:rPr>
        <w:t>Analisis terhadap dinamika intrapersonal mahasiswa memperlihatkan bahwa konsumsi media sosial bekerja melalui empat tahapan rekonstruksi konsep diri:</w:t>
      </w:r>
    </w:p>
    <w:p>
      <w:pPr>
        <w:spacing w:before="120" w:after="60" w:line="360" w:lineRule="auto"/>
        <w:jc w:val="left"/>
      </w:pPr>
      <w:r>
        <w:rPr>
          <w:rFonts w:ascii="Times New Roman" w:hAnsi="Times New Roman"/>
          <w:b/>
          <w:i/>
          <w:color w:val="000000"/>
          <w:sz w:val="24"/>
        </w:rPr>
        <w:t>4.2.1 Rekayasa Panggung Depan dan Komodifikasi Citra Diri</w:t>
      </w:r>
    </w:p>
    <w:p>
      <w:pPr>
        <w:spacing w:before="0" w:after="120" w:line="360" w:lineRule="auto"/>
        <w:ind w:firstLine="720"/>
        <w:jc w:val="both"/>
      </w:pPr>
      <w:r>
        <w:rPr>
          <w:rFonts w:ascii="Times New Roman" w:hAnsi="Times New Roman"/>
          <w:b w:val="0"/>
          <w:i w:val="0"/>
          <w:color w:val="000000"/>
          <w:sz w:val="24"/>
        </w:rPr>
        <w:t>Mengacu pada kerangka dramaturgi Goffman, mahasiswa memperlakukan profil Instagram dan TikTok sebagai instalasi panggung depan (front stage) yang terkurasi ketat. Penelitian kualitatif Zakirah (2020) di Universitas Airlangga serta Wulansari et al. (2024) di Universitas Jember menemukan bahwa mahasiswa sengaja melakukan fabrikasi visual—meliputi rekayasa pose, seleksi tata rias khusus, penggunaan filter estetika, dan pemilihan lokasi bergengsi—demi menciptakan representasi ideal. Kesenjangan antara performa daring dan realitas empiris memicu fenomena alienasi diri dan ketergantungan pada metrik validasi.</w:t>
      </w:r>
    </w:p>
    <w:p>
      <w:pPr>
        <w:spacing w:before="120" w:after="60" w:line="360" w:lineRule="auto"/>
        <w:jc w:val="left"/>
      </w:pPr>
      <w:r>
        <w:rPr>
          <w:rFonts w:ascii="Times New Roman" w:hAnsi="Times New Roman"/>
          <w:b/>
          <w:i/>
          <w:color w:val="000000"/>
          <w:sz w:val="24"/>
        </w:rPr>
        <w:t>4.2.2 Komparasi Sosial ke Atas dan Kerentanan Konsep Diri Mahasiswa</w:t>
      </w:r>
    </w:p>
    <w:p>
      <w:pPr>
        <w:spacing w:before="0" w:after="120" w:line="360" w:lineRule="auto"/>
        <w:ind w:firstLine="720"/>
        <w:jc w:val="both"/>
      </w:pPr>
      <w:r>
        <w:rPr>
          <w:rFonts w:ascii="Times New Roman" w:hAnsi="Times New Roman"/>
          <w:b w:val="0"/>
          <w:i w:val="0"/>
          <w:color w:val="000000"/>
          <w:sz w:val="24"/>
        </w:rPr>
        <w:t>Paparan narasi hiperbolik seputar kesuksesan akademik (academic weapon), portofolio karier dini di LinkedIn, dan gaya hidup jet-set di Instagram mendorong komparasi sosial ke atas secara destruktif. Riset empiris pada 485 mahasiswa Indonesia membuktikan bahwa orientasi diri interdependen (interdependent self-construal) berkorelasi positif signifikan dengan kecenderungan komparasi sosial (t = 3,211; p = 0,001). Mahasiswa dalam kultur kolektivis merasa dituntut memenuhi ekspektasi sosial kelompoknya. Lebih jauh, riset Manullang et al. (2025) menegaskan bahwa stigma dan tekanan media sosial menyumbang koefisien determinasi sebesar 59,4% (F = 16,119; p = 0,000) terhadap distorsi konsep diri mahasiswa generasi Z.</w:t>
      </w:r>
    </w:p>
    <w:p>
      <w:pPr>
        <w:spacing w:before="120" w:after="60" w:line="360" w:lineRule="auto"/>
        <w:jc w:val="left"/>
      </w:pPr>
      <w:r>
        <w:rPr>
          <w:rFonts w:ascii="Times New Roman" w:hAnsi="Times New Roman"/>
          <w:b/>
          <w:i/>
          <w:color w:val="000000"/>
          <w:sz w:val="24"/>
        </w:rPr>
        <w:t>4.2.3 Ruang Gema Algoritmik dan Penguncian Realitas Subkultur</w:t>
      </w:r>
    </w:p>
    <w:p>
      <w:pPr>
        <w:spacing w:before="0" w:after="120" w:line="360" w:lineRule="auto"/>
        <w:ind w:firstLine="720"/>
        <w:jc w:val="both"/>
      </w:pPr>
      <w:r>
        <w:rPr>
          <w:rFonts w:ascii="Times New Roman" w:hAnsi="Times New Roman"/>
          <w:b w:val="0"/>
          <w:i w:val="0"/>
          <w:color w:val="000000"/>
          <w:sz w:val="24"/>
        </w:rPr>
        <w:t>Algoritma feed menyaring informasi yang berlawanan dan memperkuat preferensi awal pengguna, menciptakan perangkap epistemik (filter bubble). Tinjauan meta-analitik Avci, Baams, &amp; Kretschmer (2024) dari University of Groningen terhadap 32 studi empiris (N = 19.658) membuktikan bahwa kualitas engagement (bukan semata durasi waktu) yang menjadi determinan utama stabilitas identitas. Konsumsi pasif berbasis komparasi berkorelasi kuat dengan krisis identitas (identity distress), sedangkan eksplorasi aktif partisipatif berkontribusi pada diferensiasi peran positif.</w:t>
      </w:r>
    </w:p>
    <w:p>
      <w:pPr>
        <w:spacing w:before="120" w:after="60" w:line="360" w:lineRule="auto"/>
        <w:jc w:val="left"/>
      </w:pPr>
      <w:r>
        <w:rPr>
          <w:rFonts w:ascii="Times New Roman" w:hAnsi="Times New Roman"/>
          <w:b/>
          <w:i/>
          <w:color w:val="000000"/>
          <w:sz w:val="24"/>
        </w:rPr>
        <w:t>4.2.4 Interaksi Parasosial dan Adopsi Otoritas Nilai Figur Idola</w:t>
      </w:r>
    </w:p>
    <w:p>
      <w:pPr>
        <w:spacing w:before="0" w:after="120" w:line="360" w:lineRule="auto"/>
        <w:ind w:firstLine="720"/>
        <w:jc w:val="both"/>
      </w:pPr>
      <w:r>
        <w:rPr>
          <w:rFonts w:ascii="Times New Roman" w:hAnsi="Times New Roman"/>
          <w:b w:val="0"/>
          <w:i w:val="0"/>
          <w:color w:val="000000"/>
          <w:sz w:val="24"/>
        </w:rPr>
        <w:t>Hubungan parasosial yang terbentuk antara mahasiswa dan figur kreator digital menciptakan ilusi keintiman semu. Penelitian empiris di UPI YPTK Padang (2025) pada 360 mahasiswa menemukan korelasi yang sangat signifikan antara penggunaan TikTok dan pembentukan konsep diri (p = 0,000). Sebanyak 63,3% responden merespons interaksi digital secara emosional, dan 52,2% mengalami penurunan kepercayaan diri langsung akibat opini atau komentar di platform.</w:t>
      </w:r>
    </w:p>
    <w:p>
      <w:pPr>
        <w:spacing w:before="200" w:after="80" w:line="360" w:lineRule="auto"/>
        <w:jc w:val="left"/>
      </w:pPr>
      <w:r>
        <w:rPr>
          <w:rFonts w:ascii="Times New Roman" w:hAnsi="Times New Roman"/>
          <w:b/>
          <w:color w:val="000000"/>
          <w:sz w:val="24"/>
        </w:rPr>
        <w:t>4.3 Sintesis Kuantitatif Pengaruh terhadap Transformasi Gaya Hidup</w:t>
      </w:r>
    </w:p>
    <w:p>
      <w:pPr>
        <w:spacing w:before="0" w:after="120" w:line="360" w:lineRule="auto"/>
        <w:ind w:firstLine="720"/>
        <w:jc w:val="both"/>
      </w:pPr>
      <w:r>
        <w:rPr>
          <w:rFonts w:ascii="Times New Roman" w:hAnsi="Times New Roman"/>
          <w:b w:val="0"/>
          <w:i w:val="0"/>
          <w:color w:val="000000"/>
          <w:sz w:val="24"/>
        </w:rPr>
        <w:t>Guna memetakan derajat pengaruh platform digital secara komparatif, Tabel 4.1 menyajikan rekapitulasi data empiris dari berbagai perguruan tinggi terkemuka di Indonesia:</w:t>
      </w:r>
    </w:p>
    <w:p>
      <w:pPr>
        <w:spacing w:before="160" w:after="80"/>
      </w:pPr>
      <w:r>
        <w:rPr>
          <w:rFonts w:ascii="Times New Roman" w:hAnsi="Times New Roman"/>
          <w:b/>
          <w:sz w:val="22"/>
        </w:rPr>
        <w:t>Tabel 4.1 Matriks Komparasi Empiris Pengaruh Media Sosial terhadap Mahasiswa</w:t>
      </w:r>
    </w:p>
    <w:tbl>
      <w:tblPr>
        <w:tblW w:type="auto" w:w="0"/>
        <w:jc w:val="center"/>
        <w:tblLayout w:type="fixed"/>
        <w:tblLook w:firstColumn="1" w:firstRow="1" w:lastColumn="0" w:lastRow="0" w:noHBand="0" w:noVBand="1" w:val="04A0"/>
      </w:tblPr>
      <w:tblGrid>
        <w:gridCol w:w="1824"/>
        <w:gridCol w:w="1824"/>
        <w:gridCol w:w="1824"/>
        <w:gridCol w:w="1824"/>
        <w:gridCol w:w="1824"/>
      </w:tblGrid>
      <w:tr>
        <w:tc>
          <w:tcPr>
            <w:tcW w:type="dxa" w:w="2592"/>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Lembaga / Studi</w:t>
            </w:r>
          </w:p>
        </w:tc>
        <w:tc>
          <w:tcPr>
            <w:tcW w:type="dxa" w:w="1872"/>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Metode &amp; Sampel</w:t>
            </w:r>
          </w:p>
        </w:tc>
        <w:tc>
          <w:tcPr>
            <w:tcW w:type="dxa" w:w="2304"/>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Fokus Variabel</w:t>
            </w:r>
          </w:p>
        </w:tc>
        <w:tc>
          <w:tcPr>
            <w:tcW w:type="dxa" w:w="1440"/>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Pengaruh (R²)</w:t>
            </w:r>
          </w:p>
        </w:tc>
        <w:tc>
          <w:tcPr>
            <w:tcW w:type="dxa" w:w="1440"/>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Uji Signifikansi</w:t>
            </w:r>
          </w:p>
        </w:tc>
      </w:tr>
      <w:tr>
        <w:tc>
          <w:tcPr>
            <w:tcW w:type="dxa" w:w="259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Univ. Tarumanagara (2021)</w:t>
            </w:r>
          </w:p>
        </w:tc>
        <w:tc>
          <w:tcPr>
            <w:tcW w:type="dxa" w:w="187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Kuantitatif (Lemeshow)</w:t>
            </w:r>
          </w:p>
        </w:tc>
        <w:tc>
          <w:tcPr>
            <w:tcW w:type="dxa" w:w="2304"/>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Gaya Hidup Hedonis</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88,8%</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p &lt; 0,05 (Signifikan)</w:t>
            </w:r>
          </w:p>
        </w:tc>
      </w:tr>
      <w:tr>
        <w:tc>
          <w:tcPr>
            <w:tcW w:type="dxa" w:w="259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UIN Suska Riau (2023)</w:t>
            </w:r>
          </w:p>
        </w:tc>
        <w:tc>
          <w:tcPr>
            <w:tcW w:type="dxa" w:w="187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Regresi Linear (N=50)</w:t>
            </w:r>
          </w:p>
        </w:tc>
        <w:tc>
          <w:tcPr>
            <w:tcW w:type="dxa" w:w="2304"/>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Gaya Hidup Mahasiswa</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49,9%</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t = 6,909; p = 0,000</w:t>
            </w:r>
          </w:p>
        </w:tc>
      </w:tr>
      <w:tr>
        <w:tc>
          <w:tcPr>
            <w:tcW w:type="dxa" w:w="259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Univ. Muhammadiyah Bengkulu</w:t>
            </w:r>
          </w:p>
        </w:tc>
        <w:tc>
          <w:tcPr>
            <w:tcW w:type="dxa" w:w="187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Korelasi Regresi (N=45)</w:t>
            </w:r>
          </w:p>
        </w:tc>
        <w:tc>
          <w:tcPr>
            <w:tcW w:type="dxa" w:w="2304"/>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Tren Fashion Mahasiswa</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63,9%</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R = 0,800; t = -8,208</w:t>
            </w:r>
          </w:p>
        </w:tc>
      </w:tr>
      <w:tr>
        <w:tc>
          <w:tcPr>
            <w:tcW w:type="dxa" w:w="259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Univ. Negeri Manado (2024)</w:t>
            </w:r>
          </w:p>
        </w:tc>
        <w:tc>
          <w:tcPr>
            <w:tcW w:type="dxa" w:w="187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Regresi Linear (N=52)</w:t>
            </w:r>
          </w:p>
        </w:tc>
        <w:tc>
          <w:tcPr>
            <w:tcW w:type="dxa" w:w="2304"/>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Gaya Hidup Konsumtif</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Signifikan</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F = 43,318; p = 0,000</w:t>
            </w:r>
          </w:p>
        </w:tc>
      </w:tr>
      <w:tr>
        <w:tc>
          <w:tcPr>
            <w:tcW w:type="dxa" w:w="259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Univ. HKBP Nommensen (2024)</w:t>
            </w:r>
          </w:p>
        </w:tc>
        <w:tc>
          <w:tcPr>
            <w:tcW w:type="dxa" w:w="187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Regresi Linear (N=38)</w:t>
            </w:r>
          </w:p>
        </w:tc>
        <w:tc>
          <w:tcPr>
            <w:tcW w:type="dxa" w:w="2304"/>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Gaya Hidup Sosial</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22,18%</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t = 3,203; p = 0,003</w:t>
            </w:r>
          </w:p>
        </w:tc>
      </w:tr>
      <w:tr>
        <w:tc>
          <w:tcPr>
            <w:tcW w:type="dxa" w:w="259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FKIK Universitas Jambi (2024)</w:t>
            </w:r>
          </w:p>
        </w:tc>
        <w:tc>
          <w:tcPr>
            <w:tcW w:type="dxa" w:w="1872"/>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Deskriptif (N=120)</w:t>
            </w:r>
          </w:p>
        </w:tc>
        <w:tc>
          <w:tcPr>
            <w:tcW w:type="dxa" w:w="2304"/>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Konsumerisme &amp; Gaya Hidup</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73% Setuju</w:t>
            </w:r>
          </w:p>
        </w:tc>
        <w:tc>
          <w:tcPr>
            <w:tcW w:type="dxa" w:w="1440"/>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Dominan Berdampak</w:t>
            </w:r>
          </w:p>
        </w:tc>
      </w:tr>
      <w:tr>
        <w:tc>
          <w:tcPr>
            <w:tcW w:type="dxa" w:w="2592"/>
            <w:tcBorders>
              <w:top w:val="none" w:sz="0" w:space="0" w:color="auto"/>
              <w:left w:val="none" w:sz="0" w:space="0" w:color="auto"/>
              <w:bottom w:val="single" w:sz="6" w:space="0" w:color="auto"/>
              <w:right w:val="none" w:sz="0" w:space="0" w:color="auto"/>
            </w:tcBorders>
          </w:tcPr>
          <w:p>
            <w:pPr>
              <w:spacing w:before="60" w:after="60" w:line="240" w:lineRule="auto"/>
              <w:jc w:val="left"/>
            </w:pPr>
            <w:r>
              <w:rPr>
                <w:rFonts w:ascii="Times New Roman" w:hAnsi="Times New Roman"/>
                <w:sz w:val="20"/>
              </w:rPr>
              <w:t>UIN Sunan Gunung Djati (2025)</w:t>
            </w:r>
          </w:p>
        </w:tc>
        <w:tc>
          <w:tcPr>
            <w:tcW w:type="dxa" w:w="1872"/>
            <w:tcBorders>
              <w:top w:val="none" w:sz="0" w:space="0" w:color="auto"/>
              <w:left w:val="none" w:sz="0" w:space="0" w:color="auto"/>
              <w:bottom w:val="single" w:sz="6" w:space="0" w:color="auto"/>
              <w:right w:val="none" w:sz="0" w:space="0" w:color="auto"/>
            </w:tcBorders>
          </w:tcPr>
          <w:p>
            <w:pPr>
              <w:spacing w:before="60" w:after="60" w:line="240" w:lineRule="auto"/>
              <w:jc w:val="left"/>
            </w:pPr>
            <w:r>
              <w:rPr>
                <w:rFonts w:ascii="Times New Roman" w:hAnsi="Times New Roman"/>
                <w:sz w:val="20"/>
              </w:rPr>
              <w:t>Regresi Linear (N=68)</w:t>
            </w:r>
          </w:p>
        </w:tc>
        <w:tc>
          <w:tcPr>
            <w:tcW w:type="dxa" w:w="2304"/>
            <w:tcBorders>
              <w:top w:val="none" w:sz="0" w:space="0" w:color="auto"/>
              <w:left w:val="none" w:sz="0" w:space="0" w:color="auto"/>
              <w:bottom w:val="single" w:sz="6" w:space="0" w:color="auto"/>
              <w:right w:val="none" w:sz="0" w:space="0" w:color="auto"/>
            </w:tcBorders>
          </w:tcPr>
          <w:p>
            <w:pPr>
              <w:spacing w:before="60" w:after="60" w:line="240" w:lineRule="auto"/>
              <w:jc w:val="left"/>
            </w:pPr>
            <w:r>
              <w:rPr>
                <w:rFonts w:ascii="Times New Roman" w:hAnsi="Times New Roman"/>
                <w:sz w:val="20"/>
              </w:rPr>
              <w:t>Identitas Sosial</w:t>
            </w:r>
          </w:p>
        </w:tc>
        <w:tc>
          <w:tcPr>
            <w:tcW w:type="dxa" w:w="1440"/>
            <w:tcBorders>
              <w:top w:val="none" w:sz="0"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sz w:val="20"/>
              </w:rPr>
              <w:t>25,3%</w:t>
            </w:r>
          </w:p>
        </w:tc>
        <w:tc>
          <w:tcPr>
            <w:tcW w:type="dxa" w:w="1440"/>
            <w:tcBorders>
              <w:top w:val="none" w:sz="0"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sz w:val="20"/>
              </w:rPr>
              <w:t>p &lt; 0,05 (Signifikan)</w:t>
            </w:r>
          </w:p>
        </w:tc>
      </w:tr>
    </w:tbl>
    <w:p>
      <w:pPr>
        <w:spacing w:before="120" w:after="60" w:line="360" w:lineRule="auto"/>
        <w:jc w:val="left"/>
      </w:pPr>
      <w:r>
        <w:rPr>
          <w:rFonts w:ascii="Times New Roman" w:hAnsi="Times New Roman"/>
          <w:b/>
          <w:i/>
          <w:color w:val="000000"/>
          <w:sz w:val="24"/>
        </w:rPr>
        <w:t>4.3.2 Dimensi Ekonomi &amp; Finansial: Hedonisme dan Lifestyle Inflation (R² 88,8%)</w:t>
      </w:r>
    </w:p>
    <w:p>
      <w:pPr>
        <w:spacing w:before="0" w:after="120" w:line="360" w:lineRule="auto"/>
        <w:ind w:firstLine="720"/>
        <w:jc w:val="both"/>
      </w:pPr>
      <w:r>
        <w:rPr>
          <w:rFonts w:ascii="Times New Roman" w:hAnsi="Times New Roman"/>
          <w:b w:val="0"/>
          <w:i w:val="0"/>
          <w:color w:val="000000"/>
          <w:sz w:val="24"/>
        </w:rPr>
        <w:t>Temuan dari Universitas Tarumanagara (Damayanti et al., 2021) menunjukkan besaran koefisien determinasi tertinggi dalam korpus literatur, di mana media sosial menyumbang 88,8% terhadap gaya hidup hedonis mahasiswa. Integrasi fitur e-commerce dalam linimasa (social commerce) memfasilitasi dorongan konsumsi impulsif. Fenomena Work From Cafe (WFC) dan adopsi gaya konsumsi mewah kerap dipicu oleh sindrom FOMO (Fear of Missing Out). Mahasiswa terdorong menggunakan fasilitas kredit digital dan Paylater demi mempertahankan reputasi simbolik di hadapan kelompok sebaya digitalnya.</w:t>
      </w:r>
    </w:p>
    <w:p>
      <w:pPr>
        <w:spacing w:before="120" w:after="60" w:line="360" w:lineRule="auto"/>
        <w:jc w:val="left"/>
      </w:pPr>
      <w:r>
        <w:rPr>
          <w:rFonts w:ascii="Times New Roman" w:hAnsi="Times New Roman"/>
          <w:b/>
          <w:i/>
          <w:color w:val="000000"/>
          <w:sz w:val="24"/>
        </w:rPr>
        <w:t>4.3.3 Dimensi Mode dan Estetika: Hegemoni Video Pendek (R² 63,9%)</w:t>
      </w:r>
    </w:p>
    <w:p>
      <w:pPr>
        <w:spacing w:before="0" w:after="120" w:line="360" w:lineRule="auto"/>
        <w:ind w:firstLine="720"/>
        <w:jc w:val="both"/>
      </w:pPr>
      <w:r>
        <w:rPr>
          <w:rFonts w:ascii="Times New Roman" w:hAnsi="Times New Roman"/>
          <w:b w:val="0"/>
          <w:i w:val="0"/>
          <w:color w:val="000000"/>
          <w:sz w:val="24"/>
        </w:rPr>
        <w:t>Platform video pendek telah menggantikan media massa konvensional sebagai penentu tren berbusana. Riset di Universitas Muhammadiyah Bengkulu membuktikan bahwa 63,9% variasi tren mode mahasiswa ditentukan oleh konten TikTok (R = 0,800). Sebanyak 45% responden mengadopsi gaya langsung dari rekomendasi kreator konten, 40% dari tayangan tips padu padan busana harian (OOTD), dan 15% dari sesi siaran langsung komersial. Pakaian difungsikan sebagai tanda distingsi kelas sosial di lingkungan kampus.</w:t>
      </w:r>
    </w:p>
    <w:p>
      <w:pPr>
        <w:spacing w:before="120" w:after="60" w:line="360" w:lineRule="auto"/>
        <w:jc w:val="left"/>
      </w:pPr>
      <w:r>
        <w:rPr>
          <w:rFonts w:ascii="Times New Roman" w:hAnsi="Times New Roman"/>
          <w:b/>
          <w:i/>
          <w:color w:val="000000"/>
          <w:sz w:val="24"/>
        </w:rPr>
        <w:t>4.3.4 Dimensi Kognisi dan Waktu: Doomscrolling dan Erosi Fokus Akademik</w:t>
      </w:r>
    </w:p>
    <w:p>
      <w:pPr>
        <w:spacing w:before="0" w:after="120" w:line="360" w:lineRule="auto"/>
        <w:ind w:firstLine="720"/>
        <w:jc w:val="both"/>
      </w:pPr>
      <w:r>
        <w:rPr>
          <w:rFonts w:ascii="Times New Roman" w:hAnsi="Times New Roman"/>
          <w:b w:val="0"/>
          <w:i w:val="0"/>
          <w:color w:val="000000"/>
          <w:sz w:val="24"/>
        </w:rPr>
        <w:t>Pola navigasi tanpa akhir (infinite scroll) yang dirancang untuk memicu pelepasan neurotransmitter menciptakan jebakan perhatian kognitif. Temuan Nadeak et al. (2025) bahwa 40,7% mahasiswa terpapar media digital lebih dari 6 jam sehari mengindikasikan krisis manajemen waktu yang akut. Fenomena doomscrolling dan kebiasaan menunda waktu tidur demi gawai (revenge bedtime procrastination) secara langsung mengikis kemampuan pemrosesan analitis mendalam (deep work), memperpendek rentang atensi, serta menurunkan ketahanan membaca teks ilmiah akademik.</w:t>
      </w:r>
    </w:p>
    <w:p>
      <w:pPr>
        <w:spacing w:before="120" w:after="60" w:line="360" w:lineRule="auto"/>
        <w:jc w:val="left"/>
      </w:pPr>
      <w:r>
        <w:rPr>
          <w:rFonts w:ascii="Times New Roman" w:hAnsi="Times New Roman"/>
          <w:b/>
          <w:i/>
          <w:color w:val="000000"/>
          <w:sz w:val="24"/>
        </w:rPr>
        <w:t>4.3.5 Dimensi Sosio-Linguistik: Slang Digital dan Dokumentasi Kompulsif</w:t>
      </w:r>
    </w:p>
    <w:p>
      <w:pPr>
        <w:spacing w:before="0" w:after="120" w:line="360" w:lineRule="auto"/>
        <w:ind w:firstLine="720"/>
        <w:jc w:val="both"/>
      </w:pPr>
      <w:r>
        <w:rPr>
          <w:rFonts w:ascii="Times New Roman" w:hAnsi="Times New Roman"/>
          <w:b w:val="0"/>
          <w:i w:val="0"/>
          <w:color w:val="000000"/>
          <w:sz w:val="24"/>
        </w:rPr>
        <w:t>Lanskap linguistik mahasiswa mengalami rekonfigurasi melalui penetrasi register bahasa internet, akronim siber, dan percampuran kode multibahasa. Pada tataran interaksi sosial tatap muka, berkembang fenomena dokumentasi kompulsif (hyper-documentation). Nilai otentisitas suatu momen diukur dari derajat kelayakannya untuk diunggah (instagrammability), mereduksi keintiman relasi interpersonal nyata.</w:t>
      </w:r>
    </w:p>
    <w:p>
      <w:pPr>
        <w:spacing w:before="120" w:after="60" w:line="360" w:lineRule="auto"/>
        <w:jc w:val="left"/>
      </w:pPr>
      <w:r>
        <w:rPr>
          <w:rFonts w:ascii="Times New Roman" w:hAnsi="Times New Roman"/>
          <w:b/>
          <w:i/>
          <w:color w:val="000000"/>
          <w:sz w:val="24"/>
        </w:rPr>
        <w:t>4.3.6 Dimensi Kesehatan Mental: Distres Identitas dan Ketidakpuasan Tubuh</w:t>
      </w:r>
    </w:p>
    <w:p>
      <w:pPr>
        <w:spacing w:before="0" w:after="120" w:line="360" w:lineRule="auto"/>
        <w:ind w:firstLine="720"/>
        <w:jc w:val="both"/>
      </w:pPr>
      <w:r>
        <w:rPr>
          <w:rFonts w:ascii="Times New Roman" w:hAnsi="Times New Roman"/>
          <w:b w:val="0"/>
          <w:i w:val="0"/>
          <w:color w:val="000000"/>
          <w:sz w:val="24"/>
        </w:rPr>
        <w:t>Paparan representasi tubuh dan gaya hidup yang direkayasa memicu gangguan dismorfik tubuh (body dysmorphia) dan kecemasan evaluatif. Studi Elsayed (2021) dalam jurnal Heliyon dan studi longitudinal Gaitán-Aguilar et al. (2022) dalam Frontiers in Psychology membuktikan korelasi kuat antara komparasi digital yang tidak sehat dengan eskalasi distres identitas, isolasi psikologis, serta depresi ringan pada generasi muda.</w:t>
      </w:r>
    </w:p>
    <w:p>
      <w:pPr>
        <w:spacing w:before="280" w:after="120" w:line="360" w:lineRule="auto"/>
        <w:jc w:val="left"/>
      </w:pPr>
      <w:r>
        <w:rPr>
          <w:rFonts w:ascii="Times New Roman" w:hAnsi="Times New Roman"/>
          <w:b/>
          <w:color w:val="000000"/>
          <w:sz w:val="24"/>
        </w:rPr>
        <w:t>BAB V MATRIKS ANALISIS RISIKO DAN EVALUASI DAMPAK LINTAS SEKTOR</w:t>
      </w:r>
    </w:p>
    <w:p>
      <w:pPr>
        <w:spacing w:before="200" w:after="80" w:line="360" w:lineRule="auto"/>
        <w:jc w:val="left"/>
      </w:pPr>
      <w:r>
        <w:rPr>
          <w:rFonts w:ascii="Times New Roman" w:hAnsi="Times New Roman"/>
          <w:b/>
          <w:color w:val="000000"/>
          <w:sz w:val="24"/>
        </w:rPr>
        <w:t>5.1 Matriks Evaluasi Risiko Dampak Platformisasi Digital</w:t>
      </w:r>
    </w:p>
    <w:p>
      <w:pPr>
        <w:spacing w:before="0" w:after="120" w:line="360" w:lineRule="auto"/>
        <w:ind w:firstLine="720"/>
        <w:jc w:val="both"/>
      </w:pPr>
      <w:r>
        <w:rPr>
          <w:rFonts w:ascii="Times New Roman" w:hAnsi="Times New Roman"/>
          <w:b w:val="0"/>
          <w:i w:val="0"/>
          <w:color w:val="000000"/>
          <w:sz w:val="24"/>
        </w:rPr>
        <w:t>Berdasarkan dekomposisi empiris pada bab sebelumnya, berikut disusun matriks evaluasi risiko multidimensi yang memetakan probabilitas, tingkat keparahan dampak, dan strategi mitigasi struktural:</w:t>
      </w:r>
    </w:p>
    <w:p>
      <w:pPr>
        <w:spacing w:before="160" w:after="80"/>
      </w:pPr>
      <w:r>
        <w:rPr>
          <w:rFonts w:ascii="Times New Roman" w:hAnsi="Times New Roman"/>
          <w:b/>
          <w:sz w:val="22"/>
        </w:rPr>
        <w:t>Tabel 5.1 Matriks Evaluasi Risiko Dampak Platform Digital terhadap Mahasiswa</w:t>
      </w:r>
    </w:p>
    <w:tbl>
      <w:tblPr>
        <w:tblW w:type="auto" w:w="0"/>
        <w:jc w:val="center"/>
        <w:tblLayout w:type="fixed"/>
        <w:tblLook w:firstColumn="1" w:firstRow="1" w:lastColumn="0" w:lastRow="0" w:noHBand="0" w:noVBand="1" w:val="04A0"/>
      </w:tblPr>
      <w:tblGrid>
        <w:gridCol w:w="1824"/>
        <w:gridCol w:w="1824"/>
        <w:gridCol w:w="1824"/>
        <w:gridCol w:w="1824"/>
        <w:gridCol w:w="1824"/>
      </w:tblGrid>
      <w:tr>
        <w:tc>
          <w:tcPr>
            <w:tcW w:type="dxa" w:w="2016"/>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Dimensi Risiko</w:t>
            </w:r>
          </w:p>
        </w:tc>
        <w:tc>
          <w:tcPr>
            <w:tcW w:type="dxa" w:w="2160"/>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Deskripsi Ancaman</w:t>
            </w:r>
          </w:p>
        </w:tc>
        <w:tc>
          <w:tcPr>
            <w:tcW w:type="dxa" w:w="1296"/>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Probabilitas</w:t>
            </w:r>
          </w:p>
        </w:tc>
        <w:tc>
          <w:tcPr>
            <w:tcW w:type="dxa" w:w="1296"/>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Tingkat Dampak</w:t>
            </w:r>
          </w:p>
        </w:tc>
        <w:tc>
          <w:tcPr>
            <w:tcW w:type="dxa" w:w="2880"/>
            <w:shd w:fill="EAEAEA"/>
            <w:tcBorders>
              <w:top w:val="single" w:sz="6"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b/>
                <w:sz w:val="20"/>
              </w:rPr>
              <w:t>Strategi Mitigasi Kunci</w:t>
            </w:r>
          </w:p>
        </w:tc>
      </w:tr>
      <w:tr>
        <w:tc>
          <w:tcPr>
            <w:tcW w:type="dxa" w:w="2016"/>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Ekonomi &amp; Finansial</w:t>
            </w:r>
          </w:p>
        </w:tc>
        <w:tc>
          <w:tcPr>
            <w:tcW w:type="dxa" w:w="216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Jebakan konsumerisme hedonis (R²=88,8%) dan jeratan utang Paylater</w:t>
            </w:r>
          </w:p>
        </w:tc>
        <w:tc>
          <w:tcPr>
            <w:tcW w:type="dxa" w:w="1296"/>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Tinggi</w:t>
            </w:r>
          </w:p>
        </w:tc>
        <w:tc>
          <w:tcPr>
            <w:tcW w:type="dxa" w:w="1296"/>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Kritis</w:t>
            </w:r>
          </w:p>
        </w:tc>
        <w:tc>
          <w:tcPr>
            <w:tcW w:type="dxa" w:w="288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Edukasi literasi finansial kritis &amp; pembatasan iklan paylater kampus</w:t>
            </w:r>
          </w:p>
        </w:tc>
      </w:tr>
      <w:tr>
        <w:tc>
          <w:tcPr>
            <w:tcW w:type="dxa" w:w="2016"/>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Psikososial &amp; Diri</w:t>
            </w:r>
          </w:p>
        </w:tc>
        <w:tc>
          <w:tcPr>
            <w:tcW w:type="dxa" w:w="216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Distorsi konsep diri (R²=59,4%), body dysmorphia, impostor syndrome</w:t>
            </w:r>
          </w:p>
        </w:tc>
        <w:tc>
          <w:tcPr>
            <w:tcW w:type="dxa" w:w="1296"/>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Tinggi</w:t>
            </w:r>
          </w:p>
        </w:tc>
        <w:tc>
          <w:tcPr>
            <w:tcW w:type="dxa" w:w="1296"/>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Tinggi</w:t>
            </w:r>
          </w:p>
        </w:tc>
        <w:tc>
          <w:tcPr>
            <w:tcW w:type="dxa" w:w="288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Layanan konseling psikologis kampus &amp; program digital mindfulness</w:t>
            </w:r>
          </w:p>
        </w:tc>
      </w:tr>
      <w:tr>
        <w:tc>
          <w:tcPr>
            <w:tcW w:type="dxa" w:w="2016"/>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Kognitif &amp; Studi</w:t>
            </w:r>
          </w:p>
        </w:tc>
        <w:tc>
          <w:tcPr>
            <w:tcW w:type="dxa" w:w="216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Defisit rentang atensi akibat doomscrolling (&gt;6 jam/hari), penurunan IPK</w:t>
            </w:r>
          </w:p>
        </w:tc>
        <w:tc>
          <w:tcPr>
            <w:tcW w:type="dxa" w:w="1296"/>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Sangat Tinggi</w:t>
            </w:r>
          </w:p>
        </w:tc>
        <w:tc>
          <w:tcPr>
            <w:tcW w:type="dxa" w:w="1296"/>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Tinggi</w:t>
            </w:r>
          </w:p>
        </w:tc>
        <w:tc>
          <w:tcPr>
            <w:tcW w:type="dxa" w:w="288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Integrasi deep-reading workshop &amp; zona bebas gawai dalam perkuliahan</w:t>
            </w:r>
          </w:p>
        </w:tc>
      </w:tr>
      <w:tr>
        <w:tc>
          <w:tcPr>
            <w:tcW w:type="dxa" w:w="2016"/>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Sosiokultural</w:t>
            </w:r>
          </w:p>
        </w:tc>
        <w:tc>
          <w:tcPr>
            <w:tcW w:type="dxa" w:w="216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Erosi komitmen identitas nasional; hanya 22,2% akses budaya harian</w:t>
            </w:r>
          </w:p>
        </w:tc>
        <w:tc>
          <w:tcPr>
            <w:tcW w:type="dxa" w:w="1296"/>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Tinggi</w:t>
            </w:r>
          </w:p>
        </w:tc>
        <w:tc>
          <w:tcPr>
            <w:tcW w:type="dxa" w:w="1296"/>
            <w:tcBorders>
              <w:top w:val="none" w:sz="0" w:space="0" w:color="auto"/>
              <w:left w:val="none" w:sz="0" w:space="0" w:color="auto"/>
              <w:bottom w:val="single" w:sz="2" w:space="0" w:color="D3D3D3"/>
              <w:right w:val="none" w:sz="0" w:space="0" w:color="auto"/>
            </w:tcBorders>
          </w:tcPr>
          <w:p>
            <w:pPr>
              <w:spacing w:before="60" w:after="60" w:line="240" w:lineRule="auto"/>
              <w:jc w:val="center"/>
            </w:pPr>
            <w:r>
              <w:rPr>
                <w:rFonts w:ascii="Times New Roman" w:hAnsi="Times New Roman"/>
                <w:sz w:val="20"/>
              </w:rPr>
              <w:t>Sedang-Tinggi</w:t>
            </w:r>
          </w:p>
        </w:tc>
        <w:tc>
          <w:tcPr>
            <w:tcW w:type="dxa" w:w="2880"/>
            <w:tcBorders>
              <w:top w:val="none" w:sz="0" w:space="0" w:color="auto"/>
              <w:left w:val="none" w:sz="0" w:space="0" w:color="auto"/>
              <w:bottom w:val="single" w:sz="2" w:space="0" w:color="D3D3D3"/>
              <w:right w:val="none" w:sz="0" w:space="0" w:color="auto"/>
            </w:tcBorders>
          </w:tcPr>
          <w:p>
            <w:pPr>
              <w:spacing w:before="60" w:after="60" w:line="240" w:lineRule="auto"/>
              <w:jc w:val="left"/>
            </w:pPr>
            <w:r>
              <w:rPr>
                <w:rFonts w:ascii="Times New Roman" w:hAnsi="Times New Roman"/>
                <w:sz w:val="20"/>
              </w:rPr>
              <w:t>Modernisasi packaging konten kebangsaan berbasis visual interaktif</w:t>
            </w:r>
          </w:p>
        </w:tc>
      </w:tr>
      <w:tr>
        <w:tc>
          <w:tcPr>
            <w:tcW w:type="dxa" w:w="2016"/>
            <w:tcBorders>
              <w:top w:val="none" w:sz="0" w:space="0" w:color="auto"/>
              <w:left w:val="none" w:sz="0" w:space="0" w:color="auto"/>
              <w:bottom w:val="single" w:sz="6" w:space="0" w:color="auto"/>
              <w:right w:val="none" w:sz="0" w:space="0" w:color="auto"/>
            </w:tcBorders>
          </w:tcPr>
          <w:p>
            <w:pPr>
              <w:spacing w:before="60" w:after="60" w:line="240" w:lineRule="auto"/>
              <w:jc w:val="left"/>
            </w:pPr>
            <w:r>
              <w:rPr>
                <w:rFonts w:ascii="Times New Roman" w:hAnsi="Times New Roman"/>
                <w:sz w:val="20"/>
              </w:rPr>
              <w:t>Komunikasi</w:t>
            </w:r>
          </w:p>
        </w:tc>
        <w:tc>
          <w:tcPr>
            <w:tcW w:type="dxa" w:w="2160"/>
            <w:tcBorders>
              <w:top w:val="none" w:sz="0" w:space="0" w:color="auto"/>
              <w:left w:val="none" w:sz="0" w:space="0" w:color="auto"/>
              <w:bottom w:val="single" w:sz="6" w:space="0" w:color="auto"/>
              <w:right w:val="none" w:sz="0" w:space="0" w:color="auto"/>
            </w:tcBorders>
          </w:tcPr>
          <w:p>
            <w:pPr>
              <w:spacing w:before="60" w:after="60" w:line="240" w:lineRule="auto"/>
              <w:jc w:val="left"/>
            </w:pPr>
            <w:r>
              <w:rPr>
                <w:rFonts w:ascii="Times New Roman" w:hAnsi="Times New Roman"/>
                <w:sz w:val="20"/>
              </w:rPr>
              <w:t>Dokumentasi kompulsif dan pendangkalan relasi sosial tatap muka</w:t>
            </w:r>
          </w:p>
        </w:tc>
        <w:tc>
          <w:tcPr>
            <w:tcW w:type="dxa" w:w="1296"/>
            <w:tcBorders>
              <w:top w:val="none" w:sz="0"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sz w:val="20"/>
              </w:rPr>
              <w:t>Sedang</w:t>
            </w:r>
          </w:p>
        </w:tc>
        <w:tc>
          <w:tcPr>
            <w:tcW w:type="dxa" w:w="1296"/>
            <w:tcBorders>
              <w:top w:val="none" w:sz="0" w:space="0" w:color="auto"/>
              <w:left w:val="none" w:sz="0" w:space="0" w:color="auto"/>
              <w:bottom w:val="single" w:sz="6" w:space="0" w:color="auto"/>
              <w:right w:val="none" w:sz="0" w:space="0" w:color="auto"/>
            </w:tcBorders>
          </w:tcPr>
          <w:p>
            <w:pPr>
              <w:spacing w:before="60" w:after="60" w:line="240" w:lineRule="auto"/>
              <w:jc w:val="center"/>
            </w:pPr>
            <w:r>
              <w:rPr>
                <w:rFonts w:ascii="Times New Roman" w:hAnsi="Times New Roman"/>
                <w:sz w:val="20"/>
              </w:rPr>
              <w:t>Sedang</w:t>
            </w:r>
          </w:p>
        </w:tc>
        <w:tc>
          <w:tcPr>
            <w:tcW w:type="dxa" w:w="2880"/>
            <w:tcBorders>
              <w:top w:val="none" w:sz="0" w:space="0" w:color="auto"/>
              <w:left w:val="none" w:sz="0" w:space="0" w:color="auto"/>
              <w:bottom w:val="single" w:sz="6" w:space="0" w:color="auto"/>
              <w:right w:val="none" w:sz="0" w:space="0" w:color="auto"/>
            </w:tcBorders>
          </w:tcPr>
          <w:p>
            <w:pPr>
              <w:spacing w:before="60" w:after="60" w:line="240" w:lineRule="auto"/>
              <w:jc w:val="left"/>
            </w:pPr>
            <w:r>
              <w:rPr>
                <w:rFonts w:ascii="Times New Roman" w:hAnsi="Times New Roman"/>
                <w:sz w:val="20"/>
              </w:rPr>
              <w:t>Penguatan kegiatan komunitas luring dan organisasi berbasis aksi nyata</w:t>
            </w:r>
          </w:p>
        </w:tc>
      </w:tr>
    </w:tbl>
    <w:p>
      <w:pPr>
        <w:spacing w:before="200" w:after="80" w:line="360" w:lineRule="auto"/>
        <w:jc w:val="left"/>
      </w:pPr>
      <w:r>
        <w:rPr>
          <w:rFonts w:ascii="Times New Roman" w:hAnsi="Times New Roman"/>
          <w:b/>
          <w:color w:val="000000"/>
          <w:sz w:val="24"/>
        </w:rPr>
        <w:t>5.2 Evaluasi Gap Kebijakan Literasi Digital Perguruan Tinggi</w:t>
      </w:r>
    </w:p>
    <w:p>
      <w:pPr>
        <w:spacing w:before="0" w:after="120" w:line="360" w:lineRule="auto"/>
        <w:ind w:firstLine="720"/>
        <w:jc w:val="both"/>
      </w:pPr>
      <w:r>
        <w:rPr>
          <w:rFonts w:ascii="Times New Roman" w:hAnsi="Times New Roman"/>
          <w:b w:val="0"/>
          <w:i w:val="0"/>
          <w:color w:val="000000"/>
          <w:sz w:val="24"/>
        </w:rPr>
        <w:t>Analisis kelembagaan mengidentifikasi adanya kesenjangan fundamental (policy gap) dalam pendekatan perguruan tinggi terhadap teknologi siber. Sebagian besar inisiatif literasi digital kampus masih terpaku pada dimensi teknis instrumental (keterampilan mengoperasikan perangkat lunak dan pencarian repositori), namun mengabaikan dimensi literasi kritis algoritmik, psiko-edukasi komparasi sosial, dan ketahanan finansial di era social commerce.</w:t>
      </w:r>
    </w:p>
    <w:p>
      <w:pPr>
        <w:spacing w:before="280" w:after="120" w:line="360" w:lineRule="auto"/>
        <w:jc w:val="left"/>
      </w:pPr>
      <w:r>
        <w:rPr>
          <w:rFonts w:ascii="Times New Roman" w:hAnsi="Times New Roman"/>
          <w:b/>
          <w:color w:val="000000"/>
          <w:sz w:val="24"/>
        </w:rPr>
        <w:t>BAB VI KESIMPULAN STRATEGIS DAN PETA JALAN REKOMENDASI</w:t>
      </w:r>
    </w:p>
    <w:p>
      <w:pPr>
        <w:spacing w:before="200" w:after="80" w:line="360" w:lineRule="auto"/>
        <w:jc w:val="left"/>
      </w:pPr>
      <w:r>
        <w:rPr>
          <w:rFonts w:ascii="Times New Roman" w:hAnsi="Times New Roman"/>
          <w:b/>
          <w:color w:val="000000"/>
          <w:sz w:val="24"/>
        </w:rPr>
        <w:t>6.1 Kesimpulan Analisis</w:t>
      </w:r>
    </w:p>
    <w:p>
      <w:pPr>
        <w:spacing w:before="0" w:after="120" w:line="360" w:lineRule="auto"/>
        <w:ind w:firstLine="720"/>
        <w:jc w:val="both"/>
      </w:pPr>
      <w:r>
        <w:rPr>
          <w:rFonts w:ascii="Times New Roman" w:hAnsi="Times New Roman"/>
          <w:b w:val="0"/>
          <w:i w:val="0"/>
          <w:color w:val="000000"/>
          <w:sz w:val="24"/>
        </w:rPr>
        <w:t>Berdasarkan pengujian hipotesis dan sintesis komprehensif terhadap korpus data empiris, laporan ini menyimpulkan tiga intisari analitis:</w:t>
      </w:r>
    </w:p>
    <w:p>
      <w:pPr>
        <w:spacing w:before="0" w:after="120" w:line="360" w:lineRule="auto"/>
        <w:jc w:val="both"/>
      </w:pPr>
      <w:r>
        <w:rPr>
          <w:rFonts w:ascii="Times New Roman" w:hAnsi="Times New Roman"/>
          <w:b w:val="0"/>
          <w:i w:val="0"/>
          <w:color w:val="000000"/>
          <w:sz w:val="24"/>
        </w:rPr>
        <w:t>1. Asimetri Identitas yang Terpolarisasi: Mahasiswa lebih mengutamakan identitas sosial daring karena efisiensi reward algoritmik instan dan kebebasan agensi kurasi, sementara identitas nasional terpinggirkan akibat sifatnya yang abstrak dan terimbas sinisme publik terhadap institusi formal. Terjadi gap tajam antara kesadaran normatif (92%) dan aksi konsumsi harian (22,2%).</w:t>
      </w:r>
    </w:p>
    <w:p>
      <w:pPr>
        <w:spacing w:before="0" w:after="120" w:line="360" w:lineRule="auto"/>
        <w:jc w:val="both"/>
      </w:pPr>
      <w:r>
        <w:rPr>
          <w:rFonts w:ascii="Times New Roman" w:hAnsi="Times New Roman"/>
          <w:b w:val="0"/>
          <w:i w:val="0"/>
          <w:color w:val="000000"/>
          <w:sz w:val="24"/>
        </w:rPr>
        <w:t>2. Rekonstruksi Konsep Diri yang Rentan: Interaksi media sosial menggeser konsep diri dari dimensi substansial menuju dimensi performatif front-stage. Komparasi sosial ke atas dan stigma digital berkontribusi dominan terhadap distorsi evaluasi diri (R² = 59,4%), di mana kualitas interaksi menjadi penentu derajat distres psikologis.</w:t>
      </w:r>
    </w:p>
    <w:p>
      <w:pPr>
        <w:spacing w:before="0" w:after="120" w:line="360" w:lineRule="auto"/>
        <w:jc w:val="both"/>
      </w:pPr>
      <w:r>
        <w:rPr>
          <w:rFonts w:ascii="Times New Roman" w:hAnsi="Times New Roman"/>
          <w:b w:val="0"/>
          <w:i w:val="0"/>
          <w:color w:val="000000"/>
          <w:sz w:val="24"/>
        </w:rPr>
        <w:t>3. Magnitudo Disrupsi Gaya Hidup Multidimensi: Pengaruh platform digital terhadap pola hidup mahasiswa tergolong masif dan dominan, khususnya dalam mendorong gaya hidup hedonis-konsumtif (R² = 88,8%), mendikte preferensi estetika busana (R² = 63,9%), serta memicu erosi fokus kognitif akibat paparan durasi tinggi (&gt;6 jam/hari).</w:t>
      </w:r>
    </w:p>
    <w:p>
      <w:pPr>
        <w:spacing w:before="200" w:after="80" w:line="360" w:lineRule="auto"/>
        <w:jc w:val="left"/>
      </w:pPr>
      <w:r>
        <w:rPr>
          <w:rFonts w:ascii="Times New Roman" w:hAnsi="Times New Roman"/>
          <w:b/>
          <w:color w:val="000000"/>
          <w:sz w:val="24"/>
        </w:rPr>
        <w:t>6.2 Peta Jalan Kebijakan Tiga Tingkat (Tri-Level Policy Roadmap)</w:t>
      </w:r>
    </w:p>
    <w:p>
      <w:pPr>
        <w:spacing w:before="0" w:after="120" w:line="360" w:lineRule="auto"/>
        <w:ind w:firstLine="720"/>
        <w:jc w:val="both"/>
      </w:pPr>
      <w:r>
        <w:rPr>
          <w:rFonts w:ascii="Times New Roman" w:hAnsi="Times New Roman"/>
          <w:b w:val="0"/>
          <w:i w:val="0"/>
          <w:color w:val="000000"/>
          <w:sz w:val="24"/>
        </w:rPr>
        <w:t>Guna mengintervensi dampak negatif platformisasi digital secara komprehensif, laporan ini merekomendasikan peta jalan kebijakan terintegrasi tiga tingkat:</w:t>
      </w:r>
    </w:p>
    <w:p>
      <w:pPr>
        <w:spacing w:before="120" w:after="60" w:line="360" w:lineRule="auto"/>
        <w:jc w:val="left"/>
      </w:pPr>
      <w:r>
        <w:rPr>
          <w:rFonts w:ascii="Times New Roman" w:hAnsi="Times New Roman"/>
          <w:b/>
          <w:i/>
          <w:color w:val="000000"/>
          <w:sz w:val="24"/>
        </w:rPr>
        <w:t>A. Tingkat Mikro (Individu Mahasiswa)</w:t>
      </w:r>
    </w:p>
    <w:p>
      <w:pPr>
        <w:spacing w:before="0" w:after="120" w:line="360" w:lineRule="auto"/>
        <w:jc w:val="both"/>
      </w:pPr>
      <w:r>
        <w:rPr>
          <w:rFonts w:ascii="Times New Roman" w:hAnsi="Times New Roman"/>
          <w:b w:val="0"/>
          <w:i w:val="0"/>
          <w:color w:val="000000"/>
          <w:sz w:val="24"/>
        </w:rPr>
        <w:t>• Digital Mindfulness &amp; Batasan Waktu: Menerapkan praktik digital detox berkala dan pembatasan durasi akses harian di bawah 3 jam untuk mereduksi dopamine loop.</w:t>
      </w:r>
    </w:p>
    <w:p>
      <w:pPr>
        <w:spacing w:before="0" w:after="120" w:line="360" w:lineRule="auto"/>
        <w:jc w:val="both"/>
      </w:pPr>
      <w:r>
        <w:rPr>
          <w:rFonts w:ascii="Times New Roman" w:hAnsi="Times New Roman"/>
          <w:b w:val="0"/>
          <w:i w:val="0"/>
          <w:color w:val="000000"/>
          <w:sz w:val="24"/>
        </w:rPr>
        <w:t>• Dekonstruksi Kritis Konten: Membangun kesadaran reflektif bahwa konten media sosial merupakan panggung depan yang terfabrikasi (highlight reel), bukan tolak ukur realitas hidup yang valid.</w:t>
      </w:r>
    </w:p>
    <w:p>
      <w:pPr>
        <w:spacing w:before="0" w:after="120" w:line="360" w:lineRule="auto"/>
        <w:jc w:val="both"/>
      </w:pPr>
      <w:r>
        <w:rPr>
          <w:rFonts w:ascii="Times New Roman" w:hAnsi="Times New Roman"/>
          <w:b w:val="0"/>
          <w:i w:val="0"/>
          <w:color w:val="000000"/>
          <w:sz w:val="24"/>
        </w:rPr>
        <w:t>• Literasi Finansial Mandiri: Menghindari skema pembelian impulsif Paylater dan menerapkan prinsip pemisahan antara kebutuhan fungsional dan hasrat simbolik prestise.</w:t>
      </w:r>
    </w:p>
    <w:p>
      <w:pPr>
        <w:spacing w:before="120" w:after="60" w:line="360" w:lineRule="auto"/>
        <w:jc w:val="left"/>
      </w:pPr>
      <w:r>
        <w:rPr>
          <w:rFonts w:ascii="Times New Roman" w:hAnsi="Times New Roman"/>
          <w:b/>
          <w:i/>
          <w:color w:val="000000"/>
          <w:sz w:val="24"/>
        </w:rPr>
        <w:t>B. Tingkat Meso (Institusi Perguruan Tinggi)</w:t>
      </w:r>
    </w:p>
    <w:p>
      <w:pPr>
        <w:spacing w:before="0" w:after="120" w:line="360" w:lineRule="auto"/>
        <w:jc w:val="both"/>
      </w:pPr>
      <w:r>
        <w:rPr>
          <w:rFonts w:ascii="Times New Roman" w:hAnsi="Times New Roman"/>
          <w:b w:val="0"/>
          <w:i w:val="0"/>
          <w:color w:val="000000"/>
          <w:sz w:val="24"/>
        </w:rPr>
        <w:t>• Integrasi Kurikulum Literasi Digital Kritis: Mengembangkan mata kuliah wajib yang mengkaji mekanisme algoritma, psiko-sosiologi siber, dan etika komunikasi digital.</w:t>
      </w:r>
    </w:p>
    <w:p>
      <w:pPr>
        <w:spacing w:before="0" w:after="120" w:line="360" w:lineRule="auto"/>
        <w:jc w:val="both"/>
      </w:pPr>
      <w:r>
        <w:rPr>
          <w:rFonts w:ascii="Times New Roman" w:hAnsi="Times New Roman"/>
          <w:b w:val="0"/>
          <w:i w:val="0"/>
          <w:color w:val="000000"/>
          <w:sz w:val="24"/>
        </w:rPr>
        <w:t>• Penguatan Fasilitas Konseling Psikosiber: Menyediakan layanan bimbingan psikologis kampus yang terspesialisasi dalam menangani distres identitas, kecemasan sosial daring, dan ketergantungan gawai.</w:t>
      </w:r>
    </w:p>
    <w:p>
      <w:pPr>
        <w:spacing w:before="0" w:after="120" w:line="360" w:lineRule="auto"/>
        <w:jc w:val="both"/>
      </w:pPr>
      <w:r>
        <w:rPr>
          <w:rFonts w:ascii="Times New Roman" w:hAnsi="Times New Roman"/>
          <w:b w:val="0"/>
          <w:i w:val="0"/>
          <w:color w:val="000000"/>
          <w:sz w:val="24"/>
        </w:rPr>
        <w:t>• Revitalisasi Ruang Aktualisasi Luring: Memperbanyak ruang publik kampus, forum debat, serta kegiatan kebudayaan interaktif agar aktualisasi diri mahasiswa tersalurkan secara fisik.</w:t>
      </w:r>
    </w:p>
    <w:p>
      <w:pPr>
        <w:spacing w:before="120" w:after="60" w:line="360" w:lineRule="auto"/>
        <w:jc w:val="left"/>
      </w:pPr>
      <w:r>
        <w:rPr>
          <w:rFonts w:ascii="Times New Roman" w:hAnsi="Times New Roman"/>
          <w:b/>
          <w:i/>
          <w:color w:val="000000"/>
          <w:sz w:val="24"/>
        </w:rPr>
        <w:t>C. Tingkat Makro (Pemerintah, Regulator, dan Industri Konten)</w:t>
      </w:r>
    </w:p>
    <w:p>
      <w:pPr>
        <w:spacing w:before="0" w:after="120" w:line="360" w:lineRule="auto"/>
        <w:jc w:val="both"/>
      </w:pPr>
      <w:r>
        <w:rPr>
          <w:rFonts w:ascii="Times New Roman" w:hAnsi="Times New Roman"/>
          <w:b w:val="0"/>
          <w:i w:val="0"/>
          <w:color w:val="000000"/>
          <w:sz w:val="24"/>
        </w:rPr>
        <w:t>• Re-engineering Narasi Kebangsaan: Kementerian Komunikasi dan Informatika serta lembaga kebudayaan harus memodernisasi packaging nilai kebangsaan ke dalam format video pendek, gamifikasi, dan kolaborasi dengan kreator konten inspiratif generasi muda.</w:t>
      </w:r>
    </w:p>
    <w:p>
      <w:pPr>
        <w:spacing w:before="0" w:after="120" w:line="360" w:lineRule="auto"/>
        <w:jc w:val="both"/>
      </w:pPr>
      <w:r>
        <w:rPr>
          <w:rFonts w:ascii="Times New Roman" w:hAnsi="Times New Roman"/>
          <w:b w:val="0"/>
          <w:i w:val="0"/>
          <w:color w:val="000000"/>
          <w:sz w:val="24"/>
        </w:rPr>
        <w:t>• Regulasi Perlindungan Konsumen Muda di Ranah E-Commerce: Memperketat regulasi integrasi paylater dan iklan agresif yang menargetkan kelompok usia mahasiswa tanpa verifikasi kemampuan finansial.</w:t>
      </w:r>
    </w:p>
    <w:p>
      <w:pPr>
        <w:spacing w:before="0" w:after="120" w:line="360" w:lineRule="auto"/>
        <w:jc w:val="both"/>
      </w:pPr>
      <w:r>
        <w:rPr>
          <w:rFonts w:ascii="Times New Roman" w:hAnsi="Times New Roman"/>
          <w:b w:val="0"/>
          <w:i w:val="0"/>
          <w:color w:val="000000"/>
          <w:sz w:val="24"/>
        </w:rPr>
        <w:t>• Standardisasi Etika Desain Algoritmik: Mendorong platform digital untuk menyertakan fitur peringatan penggunaan berlebih (wellbeing nudge) dan transparansi sistem rekomendasi konten.</w:t>
      </w:r>
    </w:p>
    <w:p>
      <w:r>
        <w:br w:type="page"/>
      </w:r>
    </w:p>
    <w:p>
      <w:pPr>
        <w:spacing w:before="280" w:after="120" w:line="360" w:lineRule="auto"/>
        <w:jc w:val="left"/>
      </w:pPr>
      <w:r>
        <w:rPr>
          <w:rFonts w:ascii="Times New Roman" w:hAnsi="Times New Roman"/>
          <w:b/>
          <w:color w:val="000000"/>
          <w:sz w:val="24"/>
        </w:rPr>
        <w:t>DAFTAR PUSTAKA</w:t>
      </w:r>
    </w:p>
    <w:p>
      <w:pPr>
        <w:spacing w:before="0" w:after="80" w:line="276" w:lineRule="auto"/>
        <w:ind w:left="720" w:hanging="720"/>
        <w:jc w:val="both"/>
      </w:pPr>
      <w:r>
        <w:rPr>
          <w:rFonts w:ascii="Times New Roman" w:hAnsi="Times New Roman"/>
          <w:color w:val="000000"/>
          <w:sz w:val="22"/>
        </w:rPr>
        <w:t>Adilah, N. (2023). Pengaruh Penggunaan Media Sosial dan Gaya Hidup terhadap Perilaku Konsumtif Mahasiswa Ekonomi Islam FEB UIN Sumatera Utara. Jurnal Ekonomi dan Bisnis Islam, 4(2), 112–125.</w:t>
      </w:r>
    </w:p>
    <w:p>
      <w:pPr>
        <w:spacing w:before="0" w:after="80" w:line="276" w:lineRule="auto"/>
        <w:ind w:left="720" w:hanging="720"/>
        <w:jc w:val="both"/>
      </w:pPr>
      <w:r>
        <w:rPr>
          <w:rFonts w:ascii="Times New Roman" w:hAnsi="Times New Roman"/>
          <w:color w:val="000000"/>
          <w:sz w:val="22"/>
        </w:rPr>
        <w:t>Anggraini, D., &amp; Hastuti, S. (2023). Analisis Pengaruh Instagram dan Gaya Hidup terhadap Perilaku Konsumtif Mahasiswa. Jurnal Riset Manajemen dan Bisnis, 8(1), 45–56.</w:t>
      </w:r>
    </w:p>
    <w:p>
      <w:pPr>
        <w:spacing w:before="0" w:after="80" w:line="276" w:lineRule="auto"/>
        <w:ind w:left="720" w:hanging="720"/>
        <w:jc w:val="both"/>
      </w:pPr>
      <w:r>
        <w:rPr>
          <w:rFonts w:ascii="Times New Roman" w:hAnsi="Times New Roman"/>
          <w:color w:val="000000"/>
          <w:sz w:val="22"/>
        </w:rPr>
        <w:t>Arrahman, M., &amp; Nastainb, M. (2023). Pengaruh Media Sosial Instagram terhadap Gaya Hidup Mahasiswa Fakultas Ilmu Komunikasi Universitas Mercu Buana Yogyakarta. Jurnal Komunikasi Massa, 11(2), 88–97.</w:t>
      </w:r>
    </w:p>
    <w:p>
      <w:pPr>
        <w:spacing w:before="0" w:after="80" w:line="276" w:lineRule="auto"/>
        <w:ind w:left="720" w:hanging="720"/>
        <w:jc w:val="both"/>
      </w:pPr>
      <w:r>
        <w:rPr>
          <w:rFonts w:ascii="Times New Roman" w:hAnsi="Times New Roman"/>
          <w:color w:val="000000"/>
          <w:sz w:val="22"/>
        </w:rPr>
        <w:t>Aryani, N. (2024). Konsep Diri Pengguna Media Sosial TikTok pada Mahasiswa Pendidikan Sosiologi. Jurnal Ilmiah Muqoddimah: Jurnal Ilmu Sosial, Politik, dan Humaniora, 8(1), 77–86.</w:t>
      </w:r>
    </w:p>
    <w:p>
      <w:pPr>
        <w:spacing w:before="0" w:after="80" w:line="276" w:lineRule="auto"/>
        <w:ind w:left="720" w:hanging="720"/>
        <w:jc w:val="both"/>
      </w:pPr>
      <w:r>
        <w:rPr>
          <w:rFonts w:ascii="Times New Roman" w:hAnsi="Times New Roman"/>
          <w:color w:val="000000"/>
          <w:sz w:val="22"/>
        </w:rPr>
        <w:t>Avci, H., Baams, L., &amp; Kretschmer, T. (2024). A Systematic Review of Social Media Use and Adolescent Identity Development. Journal of Youth and Adolescence, 53(5), 1102–1120. https://doi.org/10.1007/s40894-024-00251-1</w:t>
      </w:r>
    </w:p>
    <w:p>
      <w:pPr>
        <w:spacing w:before="0" w:after="80" w:line="276" w:lineRule="auto"/>
        <w:ind w:left="720" w:hanging="720"/>
        <w:jc w:val="both"/>
      </w:pPr>
      <w:r>
        <w:rPr>
          <w:rFonts w:ascii="Times New Roman" w:hAnsi="Times New Roman"/>
          <w:color w:val="000000"/>
          <w:sz w:val="22"/>
        </w:rPr>
        <w:t>Baudrillard, J. (1981). Simulacra and Simulation. Ann Arbor: The University of Michigan Press.</w:t>
      </w:r>
    </w:p>
    <w:p>
      <w:pPr>
        <w:spacing w:before="0" w:after="80" w:line="276" w:lineRule="auto"/>
        <w:ind w:left="720" w:hanging="720"/>
        <w:jc w:val="both"/>
      </w:pPr>
      <w:r>
        <w:rPr>
          <w:rFonts w:ascii="Times New Roman" w:hAnsi="Times New Roman"/>
          <w:color w:val="000000"/>
          <w:sz w:val="22"/>
        </w:rPr>
        <w:t>Damayanti, F. A., Hartono, S., &amp; Lestari, R. (2021). Dampak Penggunaan Media Sosial terhadap Gaya Hidup Hedonis Mahasiswa Universitas Tarumanagara. Prologia, 5(1), 8–14. https://doi.org/10.24912/pr.v5i1.8074</w:t>
      </w:r>
    </w:p>
    <w:p>
      <w:pPr>
        <w:spacing w:before="0" w:after="80" w:line="276" w:lineRule="auto"/>
        <w:ind w:left="720" w:hanging="720"/>
        <w:jc w:val="both"/>
      </w:pPr>
      <w:r>
        <w:rPr>
          <w:rFonts w:ascii="Times New Roman" w:hAnsi="Times New Roman"/>
          <w:color w:val="000000"/>
          <w:sz w:val="22"/>
        </w:rPr>
        <w:t>Dutot, V. (2020). A Social Identity Perspective of Social Media's Impact on Youth Behavior. Cyberpsychology, Behavior, and Social Networking, 23(8), 540–548.</w:t>
      </w:r>
    </w:p>
    <w:p>
      <w:pPr>
        <w:spacing w:before="0" w:after="80" w:line="276" w:lineRule="auto"/>
        <w:ind w:left="720" w:hanging="720"/>
        <w:jc w:val="both"/>
      </w:pPr>
      <w:r>
        <w:rPr>
          <w:rFonts w:ascii="Times New Roman" w:hAnsi="Times New Roman"/>
          <w:color w:val="000000"/>
          <w:sz w:val="22"/>
        </w:rPr>
        <w:t>Elsayed, W. (2021). The Negative Effects of Social Media on the Social Identity of Adolescents from a Socio-Psychological Perspective. Heliyon, 7(3), e06432. https://doi.org/10.1016/j.heliyon.2021.e06432</w:t>
      </w:r>
    </w:p>
    <w:p>
      <w:pPr>
        <w:spacing w:before="0" w:after="80" w:line="276" w:lineRule="auto"/>
        <w:ind w:left="720" w:hanging="720"/>
        <w:jc w:val="both"/>
      </w:pPr>
      <w:r>
        <w:rPr>
          <w:rFonts w:ascii="Times New Roman" w:hAnsi="Times New Roman"/>
          <w:color w:val="000000"/>
          <w:sz w:val="22"/>
        </w:rPr>
        <w:t>Festinger, L. (1954). A Theory of Social Comparison Processes. Human Relations, 7(2), 117–140.</w:t>
      </w:r>
    </w:p>
    <w:p>
      <w:pPr>
        <w:spacing w:before="0" w:after="80" w:line="276" w:lineRule="auto"/>
        <w:ind w:left="720" w:hanging="720"/>
        <w:jc w:val="both"/>
      </w:pPr>
      <w:r>
        <w:rPr>
          <w:rFonts w:ascii="Times New Roman" w:hAnsi="Times New Roman"/>
          <w:color w:val="000000"/>
          <w:sz w:val="22"/>
        </w:rPr>
        <w:t>Gaitán-Aguilar, L., Hofhuis, J., Bierwiaczonek, K., &amp; Carmona, C. (2022). Social Media Use, Social Identification and Cross-Cultural Adaptation of International Students: A Longitudinal Examination. Frontiers in Psychology, 13, 1013375. https://doi.org/10.3389/fpsyg.2022.1013375</w:t>
      </w:r>
    </w:p>
    <w:p>
      <w:pPr>
        <w:spacing w:before="0" w:after="80" w:line="276" w:lineRule="auto"/>
        <w:ind w:left="720" w:hanging="720"/>
        <w:jc w:val="both"/>
      </w:pPr>
      <w:r>
        <w:rPr>
          <w:rFonts w:ascii="Times New Roman" w:hAnsi="Times New Roman"/>
          <w:color w:val="000000"/>
          <w:sz w:val="22"/>
        </w:rPr>
        <w:t>Goffman, E. (1959). The Presentation of Self in Everyday Life. New York: Anchor Books.</w:t>
      </w:r>
    </w:p>
    <w:p>
      <w:pPr>
        <w:spacing w:before="0" w:after="80" w:line="276" w:lineRule="auto"/>
        <w:ind w:left="720" w:hanging="720"/>
        <w:jc w:val="both"/>
      </w:pPr>
      <w:r>
        <w:rPr>
          <w:rFonts w:ascii="Times New Roman" w:hAnsi="Times New Roman"/>
          <w:color w:val="000000"/>
          <w:sz w:val="22"/>
        </w:rPr>
        <w:t>Hanifah. (2025). Pengaruh Influencer TikTok terhadap Pembentukan Identitas Sosial Mahasiswa di Media Sosial (Studi pada Mahasiswa Sosiologi UIN Sunan Gunung Djati Bandung). Skripsi Sarjana, Digital Library UIN Sunan Gunung Djati Bandung.</w:t>
      </w:r>
    </w:p>
    <w:p>
      <w:pPr>
        <w:spacing w:before="0" w:after="80" w:line="276" w:lineRule="auto"/>
        <w:ind w:left="720" w:hanging="720"/>
        <w:jc w:val="both"/>
      </w:pPr>
      <w:r>
        <w:rPr>
          <w:rFonts w:ascii="Times New Roman" w:hAnsi="Times New Roman"/>
          <w:color w:val="000000"/>
          <w:sz w:val="22"/>
        </w:rPr>
        <w:t>Mahendra, S. (2024). Peran Media Sosial terhadap Pembentukan Identitas Nasional Mahasiswa di Era Digital. LANCAH: Jurnal Inovasi dan Tren, 3(1), 45–55. https://doi.org/10.35870/ljit.v3i1.3464</w:t>
      </w:r>
    </w:p>
    <w:p>
      <w:pPr>
        <w:spacing w:before="0" w:after="80" w:line="276" w:lineRule="auto"/>
        <w:ind w:left="720" w:hanging="720"/>
        <w:jc w:val="both"/>
      </w:pPr>
      <w:r>
        <w:rPr>
          <w:rFonts w:ascii="Times New Roman" w:hAnsi="Times New Roman"/>
          <w:color w:val="000000"/>
          <w:sz w:val="22"/>
        </w:rPr>
        <w:t>Manullang, R., Siregar, T., &amp; Pratama, A. (2025). Pengaruh Stigma Media Sosial terhadap Konsep Diri Mahasiswa Generasi Z. Jurnal Pendidikan dan Konseling, 7(1), 210–222.</w:t>
      </w:r>
    </w:p>
    <w:p>
      <w:pPr>
        <w:spacing w:before="0" w:after="80" w:line="276" w:lineRule="auto"/>
        <w:ind w:left="720" w:hanging="720"/>
        <w:jc w:val="both"/>
      </w:pPr>
      <w:r>
        <w:rPr>
          <w:rFonts w:ascii="Times New Roman" w:hAnsi="Times New Roman"/>
          <w:color w:val="000000"/>
          <w:sz w:val="22"/>
        </w:rPr>
        <w:t>Maulana Siregar, W., et al. (2024). Peran Media Sosial dalam Meningkatkan Kesadaran Identitas Nasional di Era Digital. Jurnal Ilmiah Multidisiplin, 2(11), 50–57. https://doi.org/10.5281/zenodo.14251872</w:t>
      </w:r>
    </w:p>
    <w:p>
      <w:pPr>
        <w:spacing w:before="0" w:after="80" w:line="276" w:lineRule="auto"/>
        <w:ind w:left="720" w:hanging="720"/>
        <w:jc w:val="both"/>
      </w:pPr>
      <w:r>
        <w:rPr>
          <w:rFonts w:ascii="Times New Roman" w:hAnsi="Times New Roman"/>
          <w:color w:val="000000"/>
          <w:sz w:val="22"/>
        </w:rPr>
        <w:t>Nadeak, V. D. B. A., Manurung, R. G. E., Siringoringo, K. J. A., Damanik, A., Manalu, A. O., &amp; Banjarnahor, D. N. (2025). Pemanfaatan Media Sosial oleh Mahasiswa di Lingkungan Kampus Kota Pematangsiantar dalam Memperkuat Identitas Nasional. Jurnal Pendidikan dan Kewarganegara Indonesia, 2(3), 30–44. https://doi.org/10.61132/jupenkei.v2i3.654</w:t>
      </w:r>
    </w:p>
    <w:p>
      <w:pPr>
        <w:spacing w:before="0" w:after="80" w:line="276" w:lineRule="auto"/>
        <w:ind w:left="720" w:hanging="720"/>
        <w:jc w:val="both"/>
      </w:pPr>
      <w:r>
        <w:rPr>
          <w:rFonts w:ascii="Times New Roman" w:hAnsi="Times New Roman"/>
          <w:color w:val="000000"/>
          <w:sz w:val="22"/>
        </w:rPr>
        <w:t>Nasution, M. F. F. (2024). Transformasi Gaya Hidup Mahasiswa: Analisis Pengaruh Media Sosial dan Tren Populer. Jurnal Ilmu Komunikasi dan Media Sosial (JKOMDIS), 4(2), 156–167.</w:t>
      </w:r>
    </w:p>
    <w:p>
      <w:pPr>
        <w:spacing w:before="0" w:after="80" w:line="276" w:lineRule="auto"/>
        <w:ind w:left="720" w:hanging="720"/>
        <w:jc w:val="both"/>
      </w:pPr>
      <w:r>
        <w:rPr>
          <w:rFonts w:ascii="Times New Roman" w:hAnsi="Times New Roman"/>
          <w:color w:val="000000"/>
          <w:sz w:val="22"/>
        </w:rPr>
        <w:t>Oktaviani, D. (2019). Pengaruh Media Sosial terhadap Gaya Hidup Mahasiswa IAIN Metro. Skripsi Sarjana, Institut Agama Islam Negeri Metro.</w:t>
      </w:r>
    </w:p>
    <w:p>
      <w:pPr>
        <w:spacing w:before="0" w:after="80" w:line="276" w:lineRule="auto"/>
        <w:ind w:left="720" w:hanging="720"/>
        <w:jc w:val="both"/>
      </w:pPr>
      <w:r>
        <w:rPr>
          <w:rFonts w:ascii="Times New Roman" w:hAnsi="Times New Roman"/>
          <w:color w:val="000000"/>
          <w:sz w:val="22"/>
        </w:rPr>
        <w:t>Pasenrigading, P. (2025). Pengaruh Media Sosial Terhadap Persepsi Diri dan Pembentukan Identitas Remaja. Socius: Jurnal Penelitian Ilmu-Ilmu Sosial, 3(1), 46–58.</w:t>
      </w:r>
    </w:p>
    <w:p>
      <w:pPr>
        <w:spacing w:before="0" w:after="80" w:line="276" w:lineRule="auto"/>
        <w:ind w:left="720" w:hanging="720"/>
        <w:jc w:val="both"/>
      </w:pPr>
      <w:r>
        <w:rPr>
          <w:rFonts w:ascii="Times New Roman" w:hAnsi="Times New Roman"/>
          <w:color w:val="000000"/>
          <w:sz w:val="22"/>
        </w:rPr>
        <w:t>Peldi, Syahrudin, &amp; Asmurti. (2024). Penggunaan Media Sosial sebagai Representasi Gaya Hidup Mahasiswa. Jurnal Ilmiah Ilmu Sosial dan Pendidikan, 2(2), 78–83.</w:t>
      </w:r>
    </w:p>
    <w:p>
      <w:pPr>
        <w:spacing w:before="0" w:after="80" w:line="276" w:lineRule="auto"/>
        <w:ind w:left="720" w:hanging="720"/>
        <w:jc w:val="both"/>
      </w:pPr>
      <w:r>
        <w:rPr>
          <w:rFonts w:ascii="Times New Roman" w:hAnsi="Times New Roman"/>
          <w:color w:val="000000"/>
          <w:sz w:val="22"/>
        </w:rPr>
        <w:t>Purwantoro, S. A., Syahardani, R., Hermawan, E., &amp; Kuvaeni, A. (2021). Media Sosial: Peran dan Kiprah dalam Pengembangan Wawasan Kebangsaan. Jurnal Lemhannas RI, 9(4), 55–79.</w:t>
      </w:r>
    </w:p>
    <w:p>
      <w:pPr>
        <w:spacing w:before="0" w:after="80" w:line="276" w:lineRule="auto"/>
        <w:ind w:left="720" w:hanging="720"/>
        <w:jc w:val="both"/>
      </w:pPr>
      <w:r>
        <w:rPr>
          <w:rFonts w:ascii="Times New Roman" w:hAnsi="Times New Roman"/>
          <w:color w:val="000000"/>
          <w:sz w:val="22"/>
        </w:rPr>
        <w:t>Ramadhina Assidiq, et al. (2023). Pengaruh Budaya Asing dan Media Sosial terhadap Identitas Nasional Generasi Muda di Era Globalisasi. Jurnal Pendidikan Karakter dan Budaya Bangsa.</w:t>
      </w:r>
    </w:p>
    <w:p>
      <w:pPr>
        <w:spacing w:before="0" w:after="80" w:line="276" w:lineRule="auto"/>
        <w:ind w:left="720" w:hanging="720"/>
        <w:jc w:val="both"/>
      </w:pPr>
      <w:r>
        <w:rPr>
          <w:rFonts w:ascii="Times New Roman" w:hAnsi="Times New Roman"/>
          <w:color w:val="000000"/>
          <w:sz w:val="22"/>
        </w:rPr>
        <w:t>Regita, E., Luthfiyyah, N., &amp; Marsuki, N. R. (2024). Pengaruh Media Sosial Terhadap Persepsi Diri dan Pembentukan Identitas. Jurnal Kajian dan Penelitian Umum, 2(1), 46–52.</w:t>
      </w:r>
    </w:p>
    <w:p>
      <w:pPr>
        <w:spacing w:before="0" w:after="80" w:line="276" w:lineRule="auto"/>
        <w:ind w:left="720" w:hanging="720"/>
        <w:jc w:val="both"/>
      </w:pPr>
      <w:r>
        <w:rPr>
          <w:rFonts w:ascii="Times New Roman" w:hAnsi="Times New Roman"/>
          <w:color w:val="000000"/>
          <w:sz w:val="22"/>
        </w:rPr>
        <w:t>Safitri, M. I. (2025). Penguatan Identitas Nasional Mahasiswa di Tengah Arus Globalisasi dan Digitalisasi. Maliki Interdisciplinary Journal, 3(6), 2298–2308.</w:t>
      </w:r>
    </w:p>
    <w:p>
      <w:pPr>
        <w:spacing w:before="0" w:after="80" w:line="276" w:lineRule="auto"/>
        <w:ind w:left="720" w:hanging="720"/>
        <w:jc w:val="both"/>
      </w:pPr>
      <w:r>
        <w:rPr>
          <w:rFonts w:ascii="Times New Roman" w:hAnsi="Times New Roman"/>
          <w:color w:val="000000"/>
          <w:sz w:val="22"/>
        </w:rPr>
        <w:t>Stuart, M., et al. (2009). The Impact of Social Identity and Cultural Capital on Different Ethnic Student Groups at University. ESRC End of Award Report, RES-000-22-2485.</w:t>
      </w:r>
    </w:p>
    <w:p>
      <w:pPr>
        <w:spacing w:before="0" w:after="80" w:line="276" w:lineRule="auto"/>
        <w:ind w:left="720" w:hanging="720"/>
        <w:jc w:val="both"/>
      </w:pPr>
      <w:r>
        <w:rPr>
          <w:rFonts w:ascii="Times New Roman" w:hAnsi="Times New Roman"/>
          <w:color w:val="000000"/>
          <w:sz w:val="22"/>
        </w:rPr>
        <w:t>Tajfel, H., &amp; Turner, J. C. (1979). An Integrative Theory of Intergroup Conflict. In W. G. Austin &amp; S. Worchel (Eds.), The Social Psychology of Intergroup Relations (pp. 33–47). Monterey, CA: Brooks/Cole.</w:t>
      </w:r>
    </w:p>
    <w:p>
      <w:pPr>
        <w:spacing w:before="0" w:after="80" w:line="276" w:lineRule="auto"/>
        <w:ind w:left="720" w:hanging="720"/>
        <w:jc w:val="both"/>
      </w:pPr>
      <w:r>
        <w:rPr>
          <w:rFonts w:ascii="Times New Roman" w:hAnsi="Times New Roman"/>
          <w:color w:val="000000"/>
          <w:sz w:val="22"/>
        </w:rPr>
        <w:t>Wahyu Nugroho, M., &amp; Nugraha, D. M. (2021). Pemanfaatan Media Sosial TikTok sebagai Sarana Penguatan Identitas Nasional di Era Pandemi. Academy of Education Journal, 12(2), 180–192. https://doi.org/10.47200/aoej.v12i2.695</w:t>
      </w:r>
    </w:p>
    <w:p>
      <w:pPr>
        <w:spacing w:before="0" w:after="80" w:line="276" w:lineRule="auto"/>
        <w:ind w:left="720" w:hanging="720"/>
        <w:jc w:val="both"/>
      </w:pPr>
      <w:r>
        <w:rPr>
          <w:rFonts w:ascii="Times New Roman" w:hAnsi="Times New Roman"/>
          <w:color w:val="000000"/>
          <w:sz w:val="22"/>
        </w:rPr>
        <w:t>Wulansari, Y. D., Afcarina, J. S., Zahrafani, S. A. W., &amp; Afifah, W. (2024). Pengaruh Media Sosial terhadap Konstruksi Identitas Mahasiswa Universitas Jember. Akademik: Jurnal Mahasiswa Humanis, 4(2), 336–346.</w:t>
      </w:r>
    </w:p>
    <w:p>
      <w:pPr>
        <w:spacing w:before="0" w:after="80" w:line="276" w:lineRule="auto"/>
        <w:ind w:left="720" w:hanging="720"/>
        <w:jc w:val="both"/>
      </w:pPr>
      <w:r>
        <w:rPr>
          <w:rFonts w:ascii="Times New Roman" w:hAnsi="Times New Roman"/>
          <w:color w:val="000000"/>
          <w:sz w:val="22"/>
        </w:rPr>
        <w:t>Zakirah, D. M. A. (2020). Media Sosial sebagai Sarana Membentuk Identitas Diri Mahasiswa Universitas Airlangga Surabaya. Jurnal Kopis: Kajian Penelitian dan Pemikiran Komunikasi Penyiaran Islam, 2(2), 91–101.</w:t>
      </w:r>
    </w:p>
    <w:p>
      <w:pPr>
        <w:spacing w:before="0" w:after="80" w:line="276" w:lineRule="auto"/>
        <w:ind w:left="720" w:hanging="720"/>
        <w:jc w:val="both"/>
      </w:pPr>
      <w:r>
        <w:rPr>
          <w:rFonts w:ascii="Times New Roman" w:hAnsi="Times New Roman"/>
          <w:color w:val="000000"/>
          <w:sz w:val="22"/>
        </w:rPr>
        <w:t>Zulfa Puspita Sari, N., et al. (2024). Media Sosial dan Pengaruh Nasionalisme dalam Tren dan Implikasinya Era Digital. Jurnal Media Akademik, 2(5).</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