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Full Risk Assessment — Supporting Artefacts Pack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AWS Cloud-Based Web Application  ·  Subarna Tamang  ·  April 2026</w:t>
      </w:r>
    </w:p>
    <w:p>
      <w:pPr>
        <w:pBdr>
          <w:bottom w:val="single" w:color="1F4E79" w:sz="8" w:space="6"/>
        </w:pBdr>
        <w:spacing w:after="200" w:before="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Frameworks: ISO 27001 Annex A  ·  NIST RMF  ·  OWASP Top 10  ·  CIS Controls v8</w:t>
      </w:r>
    </w:p>
    <w:p>
      <w:pPr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Full Risk Register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register below expands on the portfolio summary with full threat source identification, existing control documentation, control gap analysis, framework cross-mapping, and residual risk ratings post-control implementation.</w:t>
      </w:r>
    </w:p>
    <w:p>
      <w:pPr>
        <w:spacing w:after="100" w:before="100"/>
      </w:pP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980"/>
        <w:gridCol w:w="1100"/>
        <w:gridCol w:w="680"/>
        <w:gridCol w:w="580"/>
        <w:gridCol w:w="700"/>
        <w:gridCol w:w="1500"/>
        <w:gridCol w:w="1400"/>
        <w:gridCol w:w="1500"/>
        <w:gridCol w:w="800"/>
        <w:gridCol w:w="680"/>
        <w:gridCol w:w="780"/>
        <w:gridCol w:w="680"/>
        <w:gridCol w:w="640"/>
      </w:tblGrid>
      <w:tr>
        <w:trPr>
          <w:tblHeader/>
        </w:trP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Scenario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 Source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Inherent Risk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Existing Controls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Gap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Treatment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ISO 27001 Ref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NIST CSF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Residual Risk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breach via S3 bucket misconfiguration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PII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attacker / misconfigured permissions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IAM baseline; default bucket settings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automated misconfiguration scanning; no least privilege enforcement; no bucket policy review cadence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AWS Config + S3 Block Public Access; enforce least privilege IAM; monthly IAM access reviews; enable S3 server-side encryption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A.8.1, A.9.1, A.9.4, A.12.1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ID.AM, PR.AC, PR.DS, DE.CM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Admin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May-26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credential theft via phishing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Credentials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engineering / external attacker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security awareness training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MFA enforced; no phishing simulations; no suspicious login alerting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MFA for all IAM users; run quarterly phishing simulations; enable CloudTrail alerting on anomalous logins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A.9.3, A.9.4, A.7.2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PR.AC, PR.AT, DE.AE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Lead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Apr-26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Exploitation of unpatched vulnerabilities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attacker / automated scanner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OS patch cycle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vulnerability scanning; no SLA for critical patches; no runtime application protection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AWS Inspector; enforce 7-day patch SLA for critical CVEs; integrate OWASP dependency checks in CI/CD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A.12.6, A.14.2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ID.RA, PR.IP, DE.CM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Medium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May-26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Weak password policy leading to account compromise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Credentials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 force / credential stuffing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password length requirement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complexity rules; no rotation policy; no MFA; no lockout threshold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NIST SP 800-63B compliant password policy; enforce MFA; set account lockout after 5 failed attempts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A.9.3, A.9.4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PR.AC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Owner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Apr-26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DDoS attack causing application downtime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Volumetric / application-layer DDoS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Shield Basic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WAF; no rate limiting; no traffic anomaly alerting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AWS WAF with rate-based rules; enable AWS Shield Standard; configure CloudWatch DDoS alarms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A.12.3, A.17.1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PR.PT, DE.AE, RS.RP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Architect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Jun-26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Note: Residual risk ratings assume full and correct implementation of all recommended controls. R-03 retains Medium residual risk due to the inherent difficulty of achieving zero-day patching coverage.</w:t>
      </w:r>
    </w:p>
    <w:p>
      <w:pPr>
        <w:sectPr>
          <w:headerReference w:type="default" r:id="rId7"/>
          <w:footerReference w:type="default" r:id="rId8"/>
          <w:pgSz w:w="20880" w:h="1512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Control Heatmaps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Two heatmaps are presented: inherent risk (before controls) and residual risk (after controls). The maps plot each risk by Likelihood and Impact to illustrate the risk reduction achieved through the recommended control set.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2a. Inherent Risk Heatmap — Before Controls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Positions reflect the raw risk rating prior to any control enhancements.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 \ Impact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0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R-02
High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0000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R-01
Critical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R-04, R-05
Medium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8C0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R-03
High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2b. Residual Risk Heatmap — After Controls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Positions reflect expected risk ratings following full implementation of recommended controls.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 \ Impact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R-01, R-02
Low (was Critical/High)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R-04, R-05
Low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R-03
Medium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2c. Risk Movement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table below summarises the risk reduction journey for each identified risk.</w:t>
      </w:r>
    </w:p>
    <w:p>
      <w:pPr>
        <w:spacing w:after="100" w:before="10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300"/>
        <w:gridCol w:w="1300"/>
        <w:gridCol w:w="1300"/>
        <w:gridCol w:w="31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Scenario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Inherent Risk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Residual Risk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Movement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Control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bucket misconfiguration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↓↓ Critical → Low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Config + S3 Block Public Access + Least Privilege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 / credential theft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↓↓ High → Low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enforcement + phishing simulations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Unpatched vulnerabilities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↓ High → Medium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Inspector + 7-day patch SLA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Weak password policy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↓ Medium → Low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password policy + MFA + lockout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DDoS downtime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↓ Medium → Low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WAF + rate limiting + Shield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All five risks have been reduced. Four risks achieve Low residual rating. R-03 retains Medium due to the operational constraints of zero-day patching. No risks remain at Critical or High residual level.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Supporting Artefacts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3a. Threat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Threats are categorised using the STRIDE framework (Spoofing, Tampering, Repudiation, Information Disclosure, Denial of Service, Elevation of Privilege). Each risk is traced to a realistic threat actor and attack vector.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600"/>
        <w:gridCol w:w="1400"/>
        <w:gridCol w:w="1200"/>
        <w:gridCol w:w="1200"/>
        <w:gridCol w:w="18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 Actor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STRIDE 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Attack Vector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Mitigating Control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PII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public exposure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attacker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/ Internet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Block Public Access; bucket policy review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Credentials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 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engineer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Spoofing / Elevation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MFA; phishing simulation; security awareness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 exploitation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scanner / attacker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Tampering / Elevation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/ Internet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Inspector; patch SLA; WAF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Credentials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 force / credential stuffing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attacker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Spoofing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/ API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policy; MFA; account lockout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Volumetric / L7 DDoS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Botnet / hacktivist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/ Internet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WAF; Shield; rate limiting; CloudWatch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3b. Control Mapping — ISO 27001 &amp; NIST CSF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risk is mapped to the relevant ISO 27001 Annex A controls and NIST CSF functions. This cross-mapping demonstrates alignment with industry-recognised frameworks.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1200"/>
        <w:gridCol w:w="3160"/>
        <w:gridCol w:w="1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ISO 27001 Annex 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ISO Clause 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NIST CSF Function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Description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 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 / A.9.1 / A.9.4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Asset Inventory / Access Policy / Access Control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ID.AM / PR.AC / PR.DS / DE.CM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Config rules; S3 Block Public Access; least privilege IAM policies; S3 encryption at rest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Immediate — In Progress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A.9.3 / A.9.4 / A.7.2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 Responsibilities / Access Control / Awareness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PR.AC / PR.AT / DE.AE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MFA enforcement; CloudTrail anomaly alerting; phishing simulation programme; security awareness refresh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Planned — Apr 2026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A.12.6 / A.14.2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Technical Vulnerability Mgmt / Secure Development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ID.RA / PR.IP / DE.CM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Inspector continuous scanning; 7-day patch SLA for critical CVEs; OWASP dependency checks in CI/CD pipeline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Planned — May 2026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A.9.3 / A.9.4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 Responsibilities / Access Control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PR.AC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SP 800-63B password policy; MFA requirement; 5-attempt account lockout; no password reuse (last 12)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Immediate — In Progress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A.12.3 / A.17.1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 / Business Continuity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PR.PT / DE.AE / RS.RP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WAF rate-based rules; AWS Shield Standard; CloudWatch DDoS alarm; incident response runbook for DDoS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Planned — Jun 2026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3c. Methodology &amp; Scoring Rationale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Risk Calculation: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Inherent Risk = Likelihood × Impact (qualitative). Critical override applied to all High-High combinations.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Likelihood Basis: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OWASP Top 10 (2021) frequency data, CIS Controls v8 threat prevalence, AWS Well-Architected Framework guidance.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Impact Basis: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CIA triad assessment: High = significant regulatory, financial or reputational harm; Medium = recoverable; Low = minimal.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Residual Risk: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Re-evaluated post-control using same qualitative scale, assuming full and correct control implementation.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 Alignment: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ISO 27001:2022 Annex A, NIST SP 800-37 RMF, NIST CSF 2.0, OWASP Top 10 (2021), CIS Controls v8.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3d. Assumptions &amp; Scope Boundaries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assumptions and scope decisions underpin the assessment findings.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 covers the AWS-hosted web application and its directly supporting infrastructure (EC2, S3, IAM, VPC, CloudTrail). On-premises systems are out of scope.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hosting organisation is a mid-size commercial entity processing customer PII subject to GDPR. No financial transaction data (PCI-DSS) is in scope.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Likelihood Scoring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Qualitative scoring (High / Medium / Low) based on OWASP Top 10 (2021), CIS Controls v8, and AWS Well-Architected Framework. No quantitative probability data was used.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 Scoring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 assessed against CIA triad. High = significant regulatory, financial, or reputational harm. Medium = recoverable impact. Low = minimal business disruption.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Existing Controls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Controls noted as 'existing' reflect a baseline AWS deployment without security hardening. AWS Shield Basic and default IAM are assumed to be active.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Residual ratings assume full and correct implementation of all recommended controls. Partial implementation may result in higher residual risk than stated.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 is based on a simulated scenario. No penetration testing, live vulnerability scan data, or internal audit findings were used. Actual risk posture may differ.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3e.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2026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Subarna Tamang — GRC &amp; Cyber Risk Analyst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— Portfolio Submission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Full risk register, control heatmaps, and supporting artefacts are contained within this document. Additional project documentation available on request.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000000"/>
        <w:sz w:val="16"/>
        <w:szCs w:val="16"/>
      </w:rPr>
      <w:t xml:space="preserve">ISO 27001  |  NIST RMF  |  OWASP Top 10  |  CIS Controls v8   |   Page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000000"/>
        <w:sz w:val="16"/>
        <w:szCs w:val="16"/>
      </w:rPr>
      <w:t xml:space="preserve">ISO 27001  |  NIST RMF  |  OWASP Top 10  |  CIS Controls v8   |   Page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000000"/>
        <w:sz w:val="16"/>
        <w:szCs w:val="16"/>
      </w:rPr>
      <w:t xml:space="preserve">ISO 27001  |  NIST RMF  |  OWASP Top 10  |  CIS Controls v8   |   Page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000000"/>
        <w:sz w:val="20"/>
        <w:szCs w:val="20"/>
      </w:rPr>
      <w:t xml:space="preserve">AWS Cyber Risk Assessment  |  Subarna Tamang</w:t>
    </w:r>
    <w:r>
      <w:rPr>
        <w:rFonts w:ascii="Arial" w:cs="Arial" w:eastAsia="Arial" w:hAnsi="Arial"/>
        <w:color w:val="000000"/>
        <w:sz w:val="18"/>
        <w:szCs w:val="18"/>
      </w:rPr>
      <w:t xml:space="preserve">   ·   Full Risk Register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000000"/>
        <w:sz w:val="20"/>
        <w:szCs w:val="20"/>
      </w:rPr>
      <w:t xml:space="preserve">AWS Cyber Risk Assessment  |  Subarna Tamang</w:t>
    </w:r>
    <w:r>
      <w:rPr>
        <w:rFonts w:ascii="Arial" w:cs="Arial" w:eastAsia="Arial" w:hAnsi="Arial"/>
        <w:color w:val="000000"/>
        <w:sz w:val="18"/>
        <w:szCs w:val="18"/>
      </w:rPr>
      <w:t xml:space="preserve">   ·   Control Heatmaps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000000"/>
        <w:sz w:val="20"/>
        <w:szCs w:val="20"/>
      </w:rPr>
      <w:t xml:space="preserve">AWS Cyber Risk Assessment  |  Subarna Tamang</w:t>
    </w:r>
    <w:r>
      <w:rPr>
        <w:rFonts w:ascii="Arial" w:cs="Arial" w:eastAsia="Arial" w:hAnsi="Arial"/>
        <w:color w:val="000000"/>
        <w:sz w:val="18"/>
        <w:szCs w:val="18"/>
      </w:rPr>
      <w:t xml:space="preserve">   ·   Supporting Artefacts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2026-04-30T10:10:39.333Z</dcterms:created>
  <dcterms:modified xsi:type="dcterms:W3CDTF">2026-04-30T10:10:39.334Z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