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000000"/>
          <w:sz w:val="52"/>
          <w:szCs w:val="52"/>
        </w:rPr>
        <w:t xml:space="preserve">Cyber Risk Assessment Portfolio</w:t>
      </w:r>
    </w:p>
    <w:p>
      <w:pPr>
        <w:spacing w:after="40" w:before="0"/>
      </w:pPr>
      <w:r>
        <w:rPr>
          <w:rFonts w:ascii="Arial" w:cs="Arial" w:eastAsia="Arial" w:hAnsi="Arial"/>
          <w:color w:val="000000"/>
          <w:sz w:val="22"/>
          <w:szCs w:val="22"/>
        </w:rPr>
        <w:t xml:space="preserve">AWS Cloud-Based Web Application  ·  ISO 27001 / NIST RMF  ·  April 2026</w:t>
      </w:r>
    </w:p>
    <w:p>
      <w:pPr>
        <w:pBdr>
          <w:bottom w:val="single" w:color="000000" w:sz="8" w:space="6"/>
        </w:pBdr>
        <w:spacing w:after="240" w:before="0"/>
      </w:pPr>
      <w:r>
        <w:rPr>
          <w:rFonts w:ascii="Arial" w:cs="Arial" w:eastAsia="Arial" w:hAnsi="Arial"/>
          <w:color w:val="000000"/>
          <w:sz w:val="20"/>
          <w:szCs w:val="20"/>
        </w:rPr>
        <w:t xml:space="preserve">Candidate: Subarna Tamang  ·  Role Target: Graduate GRC / Cyber Risk Analyst</w:t>
      </w:r>
    </w:p>
    <w:p>
      <w:pPr>
        <w:pStyle w:val="Heading1"/>
        <w:pBdr>
          <w:bottom w:val="single" w:color="000000" w:sz="6" w:space="4"/>
        </w:pBdr>
        <w:spacing w:after="160" w:before="320"/>
      </w:pPr>
      <w:r>
        <w:rPr>
          <w:rFonts w:ascii="Arial" w:cs="Arial" w:eastAsia="Arial" w:hAnsi="Arial"/>
          <w:b/>
          <w:bCs/>
          <w:color w:val="000000"/>
          <w:sz w:val="28"/>
          <w:szCs w:val="28"/>
        </w:rPr>
        <w:t xml:space="preserve">Executive Summary</w:t>
      </w:r>
    </w:p>
    <w:p>
      <w:pPr>
        <w:spacing w:after="120" w:before="80"/>
      </w:pPr>
      <w:r>
        <w:rPr>
          <w:rFonts w:ascii="Arial" w:cs="Arial" w:eastAsia="Arial" w:hAnsi="Arial"/>
          <w:color w:val="000000"/>
          <w:sz w:val="20"/>
          <w:szCs w:val="20"/>
        </w:rPr>
        <w:t xml:space="preserve">This report presents a structured risk assessment of a cloud-hosted web application running on Amazon Web Services (AWS). Five assets were evaluated against the CIA triad, yielding five identified risks. One risk was rated Critical (R-01: S3 misconfiguration), two as High, and two as Medium. Following application of the recommended controls — including AWS Config enforcement, MFA rollout, and AWS Inspector deployment — all five risks are reduced to Medium or below, with four achieving Low residual rating. No risks have been accepted or transferred due to the high potential impact on customer PII and regulatory standing.</w:t>
      </w:r>
    </w:p>
    <w:p>
      <w:pPr>
        <w:pBdr>
          <w:left w:val="single" w:color="2E75B6" w:sz="12" w:space="8"/>
        </w:pBdr>
        <w:shd w:fill="EBF3FB" w:val="clear"/>
        <w:spacing w:after="80" w:before="80"/>
        <w:ind w:left="200"/>
      </w:pPr>
      <w:r>
        <w:rPr>
          <w:rFonts w:ascii="Arial" w:cs="Arial" w:eastAsia="Arial" w:hAnsi="Arial"/>
          <w:b/>
          <w:bCs/>
          <w:color w:val="000000"/>
          <w:sz w:val="20"/>
          <w:szCs w:val="20"/>
        </w:rPr>
        <w:t xml:space="preserve">Risk Appetite Statement: </w:t>
      </w:r>
      <w:r>
        <w:rPr>
          <w:rFonts w:ascii="Arial" w:cs="Arial" w:eastAsia="Arial" w:hAnsi="Arial"/>
          <w:color w:val="000000"/>
          <w:sz w:val="20"/>
          <w:szCs w:val="20"/>
        </w:rPr>
        <w:t xml:space="preserve">The organisation does not accept any Critical or High residual risk involving customer PII or core infrastructure. All such risks require immediate treatment with a defined owner and target date.</w:t>
      </w:r>
    </w:p>
    <w:p>
      <w:pPr>
        <w:spacing w:after="120" w:before="120"/>
      </w:pPr>
    </w:p>
    <w:p>
      <w:pPr>
        <w:pStyle w:val="Heading1"/>
        <w:pBdr>
          <w:bottom w:val="single" w:color="000000" w:sz="6" w:space="4"/>
        </w:pBdr>
        <w:spacing w:after="160" w:before="320"/>
      </w:pPr>
      <w:r>
        <w:rPr>
          <w:rFonts w:ascii="Arial" w:cs="Arial" w:eastAsia="Arial" w:hAnsi="Arial"/>
          <w:b/>
          <w:bCs/>
          <w:color w:val="000000"/>
          <w:sz w:val="28"/>
          <w:szCs w:val="28"/>
        </w:rPr>
        <w:t xml:space="preserve">1. Assets Identified</w:t>
      </w:r>
    </w:p>
    <w:p>
      <w:pPr>
        <w:spacing w:after="120" w:before="60"/>
      </w:pPr>
      <w:r>
        <w:rPr>
          <w:rFonts w:ascii="Arial" w:cs="Arial" w:eastAsia="Arial" w:hAnsi="Arial"/>
          <w:color w:val="000000"/>
          <w:sz w:val="20"/>
          <w:szCs w:val="20"/>
        </w:rPr>
        <w:t xml:space="preserve">Assets are evaluated against Confidentiality, Integrity, and Availability (CIA triad) in alignment with ISO 27001 Annex A.8.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200"/>
        <w:gridCol w:w="1200"/>
        <w:gridCol w:w="1200"/>
        <w:gridCol w:w="2560"/>
      </w:tblGrid>
      <w:tr>
        <w:trPr>
          <w:tblHeader/>
        </w:trPr>
        <w:tc>
          <w:tcPr>
            <w:tcW w:type="dxa" w:w="1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Asset ID</w:t>
            </w:r>
          </w:p>
        </w:tc>
        <w:tc>
          <w:tcPr>
            <w:tcW w:type="dxa" w:w="2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Asset</w:t>
            </w:r>
          </w:p>
        </w:tc>
        <w:tc>
          <w:tcPr>
            <w:tcW w:type="dxa" w:w="1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Confidentiality</w:t>
            </w:r>
          </w:p>
        </w:tc>
        <w:tc>
          <w:tcPr>
            <w:tcW w:type="dxa" w:w="1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Integrity</w:t>
            </w:r>
          </w:p>
        </w:tc>
        <w:tc>
          <w:tcPr>
            <w:tcW w:type="dxa" w:w="1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Availability</w:t>
            </w:r>
          </w:p>
        </w:tc>
        <w:tc>
          <w:tcPr>
            <w:tcW w:type="dxa" w:w="256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Description</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0000"/>
                <w:sz w:val="18"/>
                <w:szCs w:val="18"/>
              </w:rPr>
              <w:t xml:space="preserve">A-01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left"/>
            </w:pPr>
            <w:r>
              <w:rPr>
                <w:rFonts w:ascii="Arial" w:cs="Arial" w:eastAsia="Arial" w:hAnsi="Arial"/>
                <w:b/>
                <w:bCs/>
                <w:color w:val="000000"/>
                <w:sz w:val="18"/>
                <w:szCs w:val="18"/>
              </w:rPr>
              <w:t xml:space="preserve">Customer PII</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High</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High</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b/>
                <w:bCs/>
                <w:color w:val="FF8C00"/>
                <w:sz w:val="18"/>
                <w:szCs w:val="18"/>
              </w:rPr>
              <w:t xml:space="preserve">Medium</w:t>
            </w:r>
          </w:p>
        </w:tc>
        <w:tc>
          <w:tcPr>
            <w:tcW w:type="dxa" w:w="25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Personal identifiable information of end users</w:t>
            </w:r>
          </w:p>
        </w:tc>
      </w:tr>
      <w:tr>
        <w:tc>
          <w:tcPr>
            <w:tcW w:type="dxa" w:w="10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vAlign w:val="center"/>
          </w:tcPr>
          <w:p>
            <w:pPr>
              <w:jc w:val="center"/>
            </w:pPr>
            <w:r>
              <w:rPr>
                <w:rFonts w:ascii="Arial" w:cs="Arial" w:eastAsia="Arial" w:hAnsi="Arial"/>
                <w:b/>
                <w:bCs/>
                <w:color w:val="000000"/>
                <w:sz w:val="18"/>
                <w:szCs w:val="18"/>
              </w:rPr>
              <w:t xml:space="preserve">A-02</w:t>
            </w:r>
          </w:p>
        </w:tc>
        <w:tc>
          <w:tcPr>
            <w:tcW w:type="dxa" w:w="22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vAlign w:val="center"/>
          </w:tcPr>
          <w:p>
            <w:pPr>
              <w:jc w:val="left"/>
            </w:pPr>
            <w:r>
              <w:rPr>
                <w:rFonts w:ascii="Arial" w:cs="Arial" w:eastAsia="Arial" w:hAnsi="Arial"/>
                <w:b/>
                <w:bCs/>
                <w:color w:val="000000"/>
                <w:sz w:val="18"/>
                <w:szCs w:val="18"/>
              </w:rPr>
              <w:t xml:space="preserve">Web Application</w:t>
            </w:r>
          </w:p>
        </w:tc>
        <w:tc>
          <w:tcPr>
            <w:tcW w:type="dxa" w:w="12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vAlign w:val="center"/>
          </w:tcPr>
          <w:p>
            <w:pPr>
              <w:jc w:val="center"/>
            </w:pPr>
            <w:r>
              <w:rPr>
                <w:rFonts w:ascii="Arial" w:cs="Arial" w:eastAsia="Arial" w:hAnsi="Arial"/>
                <w:b/>
                <w:bCs/>
                <w:color w:val="FF8C00"/>
                <w:sz w:val="18"/>
                <w:szCs w:val="18"/>
              </w:rPr>
              <w:t xml:space="preserve">Medium</w:t>
            </w:r>
          </w:p>
        </w:tc>
        <w:tc>
          <w:tcPr>
            <w:tcW w:type="dxa" w:w="12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High</w:t>
            </w:r>
          </w:p>
        </w:tc>
        <w:tc>
          <w:tcPr>
            <w:tcW w:type="dxa" w:w="12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High</w:t>
            </w:r>
          </w:p>
        </w:tc>
        <w:tc>
          <w:tcPr>
            <w:tcW w:type="dxa" w:w="256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Customer-facing application hosted on AWS</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0000"/>
                <w:sz w:val="18"/>
                <w:szCs w:val="18"/>
              </w:rPr>
              <w:t xml:space="preserve">A-03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left"/>
            </w:pPr>
            <w:r>
              <w:rPr>
                <w:rFonts w:ascii="Arial" w:cs="Arial" w:eastAsia="Arial" w:hAnsi="Arial"/>
                <w:b/>
                <w:bCs/>
                <w:color w:val="000000"/>
                <w:sz w:val="18"/>
                <w:szCs w:val="18"/>
              </w:rPr>
              <w:t xml:space="preserve">Cloud Infrastructure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High</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High</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High</w:t>
            </w:r>
          </w:p>
        </w:tc>
        <w:tc>
          <w:tcPr>
            <w:tcW w:type="dxa" w:w="25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AWS EC2, S3, IAM, VPC components</w:t>
            </w:r>
          </w:p>
        </w:tc>
      </w:tr>
      <w:tr>
        <w:tc>
          <w:tcPr>
            <w:tcW w:type="dxa" w:w="10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vAlign w:val="center"/>
          </w:tcPr>
          <w:p>
            <w:pPr>
              <w:jc w:val="center"/>
            </w:pPr>
            <w:r>
              <w:rPr>
                <w:rFonts w:ascii="Arial" w:cs="Arial" w:eastAsia="Arial" w:hAnsi="Arial"/>
                <w:b/>
                <w:bCs/>
                <w:color w:val="000000"/>
                <w:sz w:val="18"/>
                <w:szCs w:val="18"/>
              </w:rPr>
              <w:t xml:space="preserve">A-04</w:t>
            </w:r>
          </w:p>
        </w:tc>
        <w:tc>
          <w:tcPr>
            <w:tcW w:type="dxa" w:w="22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vAlign w:val="center"/>
          </w:tcPr>
          <w:p>
            <w:pPr>
              <w:jc w:val="left"/>
            </w:pPr>
            <w:r>
              <w:rPr>
                <w:rFonts w:ascii="Arial" w:cs="Arial" w:eastAsia="Arial" w:hAnsi="Arial"/>
                <w:b/>
                <w:bCs/>
                <w:color w:val="000000"/>
                <w:sz w:val="18"/>
                <w:szCs w:val="18"/>
              </w:rPr>
              <w:t xml:space="preserve">Employee Credentials</w:t>
            </w:r>
          </w:p>
        </w:tc>
        <w:tc>
          <w:tcPr>
            <w:tcW w:type="dxa" w:w="12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High</w:t>
            </w:r>
          </w:p>
        </w:tc>
        <w:tc>
          <w:tcPr>
            <w:tcW w:type="dxa" w:w="12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High</w:t>
            </w:r>
          </w:p>
        </w:tc>
        <w:tc>
          <w:tcPr>
            <w:tcW w:type="dxa" w:w="12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vAlign w:val="center"/>
          </w:tcPr>
          <w:p>
            <w:pPr>
              <w:jc w:val="center"/>
            </w:pPr>
            <w:r>
              <w:rPr>
                <w:rFonts w:ascii="Arial" w:cs="Arial" w:eastAsia="Arial" w:hAnsi="Arial"/>
                <w:b/>
                <w:bCs/>
                <w:color w:val="FF8C00"/>
                <w:sz w:val="18"/>
                <w:szCs w:val="18"/>
              </w:rPr>
              <w:t xml:space="preserve">Medium</w:t>
            </w:r>
          </w:p>
        </w:tc>
        <w:tc>
          <w:tcPr>
            <w:tcW w:type="dxa" w:w="256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IAM user credentials and API keys</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0000"/>
                <w:sz w:val="18"/>
                <w:szCs w:val="18"/>
              </w:rPr>
              <w:t xml:space="preserve">A-05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left"/>
            </w:pPr>
            <w:r>
              <w:rPr>
                <w:rFonts w:ascii="Arial" w:cs="Arial" w:eastAsia="Arial" w:hAnsi="Arial"/>
                <w:b/>
                <w:bCs/>
                <w:color w:val="000000"/>
                <w:sz w:val="18"/>
                <w:szCs w:val="18"/>
              </w:rPr>
              <w:t xml:space="preserve">Audit Logs / SIEM Data</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High</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High</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b/>
                <w:bCs/>
                <w:color w:val="FF8C00"/>
                <w:sz w:val="18"/>
                <w:szCs w:val="18"/>
              </w:rPr>
              <w:t xml:space="preserve">Medium</w:t>
            </w:r>
          </w:p>
        </w:tc>
        <w:tc>
          <w:tcPr>
            <w:tcW w:type="dxa" w:w="25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Security event logs and monitoring data</w:t>
            </w:r>
          </w:p>
        </w:tc>
      </w:tr>
    </w:tbl>
    <w:p>
      <w:pPr>
        <w:spacing w:after="120" w:before="120"/>
      </w:pPr>
    </w:p>
    <w:p>
      <w:pPr>
        <w:pStyle w:val="Heading1"/>
        <w:pBdr>
          <w:bottom w:val="single" w:color="000000" w:sz="6" w:space="4"/>
        </w:pBdr>
        <w:spacing w:after="160" w:before="320"/>
      </w:pPr>
      <w:r>
        <w:rPr>
          <w:rFonts w:ascii="Arial" w:cs="Arial" w:eastAsia="Arial" w:hAnsi="Arial"/>
          <w:b/>
          <w:bCs/>
          <w:color w:val="000000"/>
          <w:sz w:val="28"/>
          <w:szCs w:val="28"/>
        </w:rPr>
        <w:t xml:space="preserve">2. Risk Register</w:t>
      </w:r>
    </w:p>
    <w:p>
      <w:pPr>
        <w:spacing w:after="120" w:before="60"/>
      </w:pPr>
      <w:r>
        <w:rPr>
          <w:rFonts w:ascii="Arial" w:cs="Arial" w:eastAsia="Arial" w:hAnsi="Arial"/>
          <w:color w:val="000000"/>
          <w:sz w:val="20"/>
          <w:szCs w:val="20"/>
        </w:rPr>
        <w:t xml:space="preserve">Inherent risk is calculated as Likelihood × Impact. Residual risk reflects the expected rating after proposed controls are fully implemented. R-01 residual risk is rated Low given the comprehensive control set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600"/>
        <w:gridCol w:w="1100"/>
        <w:gridCol w:w="700"/>
        <w:gridCol w:w="700"/>
        <w:gridCol w:w="900"/>
        <w:gridCol w:w="900"/>
        <w:gridCol w:w="1300"/>
        <w:gridCol w:w="900"/>
        <w:gridCol w:w="720"/>
      </w:tblGrid>
      <w:tr>
        <w:trPr>
          <w:tblHeader/>
        </w:trPr>
        <w:tc>
          <w:tcPr>
            <w:tcW w:type="dxa" w:w="54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ID</w:t>
            </w:r>
          </w:p>
        </w:tc>
        <w:tc>
          <w:tcPr>
            <w:tcW w:type="dxa" w:w="1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Risk Scenario</w:t>
            </w:r>
          </w:p>
        </w:tc>
        <w:tc>
          <w:tcPr>
            <w:tcW w:type="dxa" w:w="11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Asset</w:t>
            </w:r>
          </w:p>
        </w:tc>
        <w:tc>
          <w:tcPr>
            <w:tcW w:type="dxa" w:w="7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Likelihood</w:t>
            </w:r>
          </w:p>
        </w:tc>
        <w:tc>
          <w:tcPr>
            <w:tcW w:type="dxa" w:w="7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Impact</w:t>
            </w:r>
          </w:p>
        </w:tc>
        <w:tc>
          <w:tcPr>
            <w:tcW w:type="dxa" w:w="9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Inherent Risk</w:t>
            </w:r>
          </w:p>
        </w:tc>
        <w:tc>
          <w:tcPr>
            <w:tcW w:type="dxa" w:w="9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Residual Risk</w:t>
            </w:r>
          </w:p>
        </w:tc>
        <w:tc>
          <w:tcPr>
            <w:tcW w:type="dxa" w:w="13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Recommended Treatment</w:t>
            </w:r>
          </w:p>
        </w:tc>
        <w:tc>
          <w:tcPr>
            <w:tcW w:type="dxa" w:w="9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Owner</w:t>
            </w:r>
          </w:p>
        </w:tc>
        <w:tc>
          <w:tcPr>
            <w:tcW w:type="dxa" w:w="72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Target</w:t>
            </w:r>
          </w:p>
        </w:tc>
      </w:tr>
      <w:tr>
        <w:tc>
          <w:tcPr>
            <w:tcW w:type="dxa" w:w="5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0000"/>
                <w:sz w:val="18"/>
                <w:szCs w:val="18"/>
              </w:rPr>
              <w:t xml:space="preserve">R-01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Data breach via S3 bucket misconfiguration</w:t>
            </w:r>
          </w:p>
        </w:tc>
        <w:tc>
          <w:tcPr>
            <w:tcW w:type="dxa" w:w="11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Customer PII</w:t>
            </w:r>
          </w:p>
        </w:tc>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0000"/>
                <w:sz w:val="18"/>
                <w:szCs w:val="18"/>
              </w:rPr>
              <w:t xml:space="preserve">High</w:t>
            </w:r>
          </w:p>
        </w:tc>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0000"/>
                <w:sz w:val="18"/>
                <w:szCs w:val="18"/>
              </w:rPr>
              <w:t xml:space="preserve">High</w:t>
            </w:r>
          </w:p>
        </w:tc>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Critical</w:t>
            </w:r>
          </w:p>
        </w:tc>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b/>
                <w:bCs/>
                <w:color w:val="375623"/>
                <w:sz w:val="18"/>
                <w:szCs w:val="18"/>
              </w:rPr>
              <w:t xml:space="preserve">Low</w:t>
            </w:r>
          </w:p>
        </w:tc>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AWS Config + S3 Block Public Access; monthly IAM reviews; enforce least privilege</w:t>
            </w:r>
          </w:p>
        </w:tc>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Cloud Admin</w:t>
            </w:r>
          </w:p>
        </w:tc>
        <w:tc>
          <w:tcPr>
            <w:tcW w:type="dxa" w:w="7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May-26</w:t>
            </w:r>
          </w:p>
        </w:tc>
      </w:tr>
      <w:tr>
        <w:tc>
          <w:tcPr>
            <w:tcW w:type="dxa" w:w="54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vAlign w:val="center"/>
          </w:tcPr>
          <w:p>
            <w:pPr>
              <w:jc w:val="center"/>
            </w:pPr>
            <w:r>
              <w:rPr>
                <w:rFonts w:ascii="Arial" w:cs="Arial" w:eastAsia="Arial" w:hAnsi="Arial"/>
                <w:b/>
                <w:bCs/>
                <w:color w:val="000000"/>
                <w:sz w:val="18"/>
                <w:szCs w:val="18"/>
              </w:rPr>
              <w:t xml:space="preserve">R-02</w:t>
            </w:r>
          </w:p>
        </w:tc>
        <w:tc>
          <w:tcPr>
            <w:tcW w:type="dxa" w:w="16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Employee credential theft via phishing</w:t>
            </w:r>
          </w:p>
        </w:tc>
        <w:tc>
          <w:tcPr>
            <w:tcW w:type="dxa" w:w="11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Employee Credentials</w:t>
            </w:r>
          </w:p>
        </w:tc>
        <w:tc>
          <w:tcPr>
            <w:tcW w:type="dxa" w:w="7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vAlign w:val="center"/>
          </w:tcPr>
          <w:p>
            <w:pPr>
              <w:jc w:val="center"/>
            </w:pPr>
            <w:r>
              <w:rPr>
                <w:rFonts w:ascii="Arial" w:cs="Arial" w:eastAsia="Arial" w:hAnsi="Arial"/>
                <w:b/>
                <w:bCs/>
                <w:color w:val="000000"/>
                <w:sz w:val="18"/>
                <w:szCs w:val="18"/>
              </w:rPr>
              <w:t xml:space="preserve">High</w:t>
            </w:r>
          </w:p>
        </w:tc>
        <w:tc>
          <w:tcPr>
            <w:tcW w:type="dxa" w:w="7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vAlign w:val="center"/>
          </w:tcPr>
          <w:p>
            <w:pPr>
              <w:jc w:val="center"/>
            </w:pPr>
            <w:r>
              <w:rPr>
                <w:rFonts w:ascii="Arial" w:cs="Arial" w:eastAsia="Arial" w:hAnsi="Arial"/>
                <w:b/>
                <w:bCs/>
                <w:color w:val="000000"/>
                <w:sz w:val="18"/>
                <w:szCs w:val="18"/>
              </w:rPr>
              <w:t xml:space="preserve">Medium</w:t>
            </w:r>
          </w:p>
        </w:tc>
        <w:tc>
          <w:tcPr>
            <w:tcW w:type="dxa" w:w="9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vAlign w:val="center"/>
          </w:tcPr>
          <w:p>
            <w:pPr>
              <w:jc w:val="center"/>
            </w:pPr>
            <w:r>
              <w:rPr>
                <w:rFonts w:ascii="Arial" w:cs="Arial" w:eastAsia="Arial" w:hAnsi="Arial"/>
                <w:b/>
                <w:bCs/>
                <w:color w:val="FF0000"/>
                <w:sz w:val="18"/>
                <w:szCs w:val="18"/>
              </w:rPr>
              <w:t xml:space="preserve">High</w:t>
            </w:r>
          </w:p>
        </w:tc>
        <w:tc>
          <w:tcPr>
            <w:tcW w:type="dxa" w:w="9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vAlign w:val="center"/>
          </w:tcPr>
          <w:p>
            <w:pPr>
              <w:jc w:val="center"/>
            </w:pPr>
            <w:r>
              <w:rPr>
                <w:rFonts w:ascii="Arial" w:cs="Arial" w:eastAsia="Arial" w:hAnsi="Arial"/>
                <w:b/>
                <w:bCs/>
                <w:color w:val="375623"/>
                <w:sz w:val="18"/>
                <w:szCs w:val="18"/>
              </w:rPr>
              <w:t xml:space="preserve">Low</w:t>
            </w:r>
          </w:p>
        </w:tc>
        <w:tc>
          <w:tcPr>
            <w:tcW w:type="dxa" w:w="13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Enforce MFA for all IAM users; quarterly phishing simulations</w:t>
            </w:r>
          </w:p>
        </w:tc>
        <w:tc>
          <w:tcPr>
            <w:tcW w:type="dxa" w:w="9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IT Security Lead</w:t>
            </w:r>
          </w:p>
        </w:tc>
        <w:tc>
          <w:tcPr>
            <w:tcW w:type="dxa" w:w="72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Apr-26</w:t>
            </w:r>
          </w:p>
        </w:tc>
      </w:tr>
      <w:tr>
        <w:tc>
          <w:tcPr>
            <w:tcW w:type="dxa" w:w="5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0000"/>
                <w:sz w:val="18"/>
                <w:szCs w:val="18"/>
              </w:rPr>
              <w:t xml:space="preserve">R-03</w:t>
            </w:r>
          </w:p>
        </w:tc>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Exploitation of unpatched vulnerabilities</w:t>
            </w:r>
          </w:p>
        </w:tc>
        <w:tc>
          <w:tcPr>
            <w:tcW w:type="dxa" w:w="11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Web Application</w:t>
            </w:r>
          </w:p>
        </w:tc>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0000"/>
                <w:sz w:val="18"/>
                <w:szCs w:val="18"/>
              </w:rPr>
              <w:t xml:space="preserve">Medium</w:t>
            </w:r>
          </w:p>
        </w:tc>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0000"/>
                <w:sz w:val="18"/>
                <w:szCs w:val="18"/>
              </w:rPr>
              <w:t xml:space="preserve">High</w:t>
            </w:r>
          </w:p>
        </w:tc>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b/>
                <w:bCs/>
                <w:color w:val="FF0000"/>
                <w:sz w:val="18"/>
                <w:szCs w:val="18"/>
              </w:rPr>
              <w:t xml:space="preserve">High</w:t>
            </w:r>
          </w:p>
        </w:tc>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b/>
                <w:bCs/>
                <w:color w:val="FF8C00"/>
                <w:sz w:val="18"/>
                <w:szCs w:val="18"/>
              </w:rPr>
              <w:t xml:space="preserve">Medium</w:t>
            </w:r>
          </w:p>
        </w:tc>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Deploy AWS Inspector; 7-day patch SLA for critical CVEs</w:t>
            </w:r>
          </w:p>
        </w:tc>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SysAdmin</w:t>
            </w:r>
          </w:p>
        </w:tc>
        <w:tc>
          <w:tcPr>
            <w:tcW w:type="dxa" w:w="7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May-26</w:t>
            </w:r>
          </w:p>
        </w:tc>
      </w:tr>
      <w:tr>
        <w:tc>
          <w:tcPr>
            <w:tcW w:type="dxa" w:w="54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vAlign w:val="center"/>
          </w:tcPr>
          <w:p>
            <w:pPr>
              <w:jc w:val="center"/>
            </w:pPr>
            <w:r>
              <w:rPr>
                <w:rFonts w:ascii="Arial" w:cs="Arial" w:eastAsia="Arial" w:hAnsi="Arial"/>
                <w:b/>
                <w:bCs/>
                <w:color w:val="000000"/>
                <w:sz w:val="18"/>
                <w:szCs w:val="18"/>
              </w:rPr>
              <w:t xml:space="preserve">R-04</w:t>
            </w:r>
          </w:p>
        </w:tc>
        <w:tc>
          <w:tcPr>
            <w:tcW w:type="dxa" w:w="16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Weak password policy leading to account compromise</w:t>
            </w:r>
          </w:p>
        </w:tc>
        <w:tc>
          <w:tcPr>
            <w:tcW w:type="dxa" w:w="11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Employee Credentials</w:t>
            </w:r>
          </w:p>
        </w:tc>
        <w:tc>
          <w:tcPr>
            <w:tcW w:type="dxa" w:w="7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vAlign w:val="center"/>
          </w:tcPr>
          <w:p>
            <w:pPr>
              <w:jc w:val="center"/>
            </w:pPr>
            <w:r>
              <w:rPr>
                <w:rFonts w:ascii="Arial" w:cs="Arial" w:eastAsia="Arial" w:hAnsi="Arial"/>
                <w:b/>
                <w:bCs/>
                <w:color w:val="000000"/>
                <w:sz w:val="18"/>
                <w:szCs w:val="18"/>
              </w:rPr>
              <w:t xml:space="preserve">Medium</w:t>
            </w:r>
          </w:p>
        </w:tc>
        <w:tc>
          <w:tcPr>
            <w:tcW w:type="dxa" w:w="7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vAlign w:val="center"/>
          </w:tcPr>
          <w:p>
            <w:pPr>
              <w:jc w:val="center"/>
            </w:pPr>
            <w:r>
              <w:rPr>
                <w:rFonts w:ascii="Arial" w:cs="Arial" w:eastAsia="Arial" w:hAnsi="Arial"/>
                <w:b/>
                <w:bCs/>
                <w:color w:val="000000"/>
                <w:sz w:val="18"/>
                <w:szCs w:val="18"/>
              </w:rPr>
              <w:t xml:space="preserve">Medium</w:t>
            </w:r>
          </w:p>
        </w:tc>
        <w:tc>
          <w:tcPr>
            <w:tcW w:type="dxa" w:w="9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vAlign w:val="center"/>
          </w:tcPr>
          <w:p>
            <w:pPr>
              <w:jc w:val="center"/>
            </w:pPr>
            <w:r>
              <w:rPr>
                <w:rFonts w:ascii="Arial" w:cs="Arial" w:eastAsia="Arial" w:hAnsi="Arial"/>
                <w:b/>
                <w:bCs/>
                <w:color w:val="FF8C00"/>
                <w:sz w:val="18"/>
                <w:szCs w:val="18"/>
              </w:rPr>
              <w:t xml:space="preserve">Medium</w:t>
            </w:r>
          </w:p>
        </w:tc>
        <w:tc>
          <w:tcPr>
            <w:tcW w:type="dxa" w:w="9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vAlign w:val="center"/>
          </w:tcPr>
          <w:p>
            <w:pPr>
              <w:jc w:val="center"/>
            </w:pPr>
            <w:r>
              <w:rPr>
                <w:rFonts w:ascii="Arial" w:cs="Arial" w:eastAsia="Arial" w:hAnsi="Arial"/>
                <w:b/>
                <w:bCs/>
                <w:color w:val="375623"/>
                <w:sz w:val="18"/>
                <w:szCs w:val="18"/>
              </w:rPr>
              <w:t xml:space="preserve">Low</w:t>
            </w:r>
          </w:p>
        </w:tc>
        <w:tc>
          <w:tcPr>
            <w:tcW w:type="dxa" w:w="13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Implement NIST-compliant password policy; enforce MFA</w:t>
            </w:r>
          </w:p>
        </w:tc>
        <w:tc>
          <w:tcPr>
            <w:tcW w:type="dxa" w:w="9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IAM Owner</w:t>
            </w:r>
          </w:p>
        </w:tc>
        <w:tc>
          <w:tcPr>
            <w:tcW w:type="dxa" w:w="72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Apr-26</w:t>
            </w:r>
          </w:p>
        </w:tc>
      </w:tr>
      <w:tr>
        <w:tc>
          <w:tcPr>
            <w:tcW w:type="dxa" w:w="5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0000"/>
                <w:sz w:val="18"/>
                <w:szCs w:val="18"/>
              </w:rPr>
              <w:t xml:space="preserve">R-05</w:t>
            </w:r>
          </w:p>
        </w:tc>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DDoS attack causing application downtime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Web Application</w:t>
            </w:r>
          </w:p>
        </w:tc>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0000"/>
                <w:sz w:val="18"/>
                <w:szCs w:val="18"/>
              </w:rPr>
              <w:t xml:space="preserve">Medium</w:t>
            </w:r>
          </w:p>
        </w:tc>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0000"/>
                <w:sz w:val="18"/>
                <w:szCs w:val="18"/>
              </w:rPr>
              <w:t xml:space="preserve">Medium</w:t>
            </w:r>
          </w:p>
        </w:tc>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b/>
                <w:bCs/>
                <w:color w:val="FF8C00"/>
                <w:sz w:val="18"/>
                <w:szCs w:val="18"/>
              </w:rPr>
              <w:t xml:space="preserve">Medium</w:t>
            </w:r>
          </w:p>
        </w:tc>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b/>
                <w:bCs/>
                <w:color w:val="375623"/>
                <w:sz w:val="18"/>
                <w:szCs w:val="18"/>
              </w:rPr>
              <w:t xml:space="preserve">Low</w:t>
            </w:r>
          </w:p>
        </w:tc>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Deploy AWS WAF + rate-based rules; enable AWS Shield Standard</w:t>
            </w:r>
          </w:p>
        </w:tc>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Cloud Architect</w:t>
            </w:r>
          </w:p>
        </w:tc>
        <w:tc>
          <w:tcPr>
            <w:tcW w:type="dxa" w:w="7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Jun-26</w:t>
            </w:r>
          </w:p>
        </w:tc>
      </w:tr>
    </w:tbl>
    <w:p>
      <w:pPr>
        <w:spacing w:after="120" w:before="120"/>
      </w:pPr>
    </w:p>
    <w:p>
      <w:pPr>
        <w:pStyle w:val="Heading1"/>
        <w:pBdr>
          <w:bottom w:val="single" w:color="000000" w:sz="6" w:space="4"/>
        </w:pBdr>
        <w:spacing w:after="160" w:before="320"/>
      </w:pPr>
      <w:r>
        <w:rPr>
          <w:rFonts w:ascii="Arial" w:cs="Arial" w:eastAsia="Arial" w:hAnsi="Arial"/>
          <w:b/>
          <w:bCs/>
          <w:color w:val="000000"/>
          <w:sz w:val="28"/>
          <w:szCs w:val="28"/>
        </w:rPr>
        <w:t xml:space="preserve">3. Risk Matrix — Likelihood vs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Likelihood \ Impact</w:t>
            </w:r>
          </w:p>
        </w:tc>
        <w:tc>
          <w:tcPr>
            <w:tcW w:type="dxa" w:w="2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Low Impact</w:t>
            </w:r>
          </w:p>
        </w:tc>
        <w:tc>
          <w:tcPr>
            <w:tcW w:type="dxa" w:w="2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Medium Impact</w:t>
            </w:r>
          </w:p>
        </w:tc>
        <w:tc>
          <w:tcPr>
            <w:tcW w:type="dxa" w:w="2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High Impact</w:t>
            </w:r>
          </w:p>
        </w:tc>
      </w:tr>
      <w:tr>
        <w:tc>
          <w:tcPr>
            <w:tcW w:type="dxa" w:w="156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vAlign w:val="center"/>
          </w:tcPr>
          <w:p>
            <w:pPr>
              <w:jc w:val="left"/>
            </w:pPr>
            <w:r>
              <w:rPr>
                <w:rFonts w:ascii="Arial" w:cs="Arial" w:eastAsia="Arial" w:hAnsi="Arial"/>
                <w:b/>
                <w:bCs/>
                <w:color w:val="000000"/>
                <w:sz w:val="18"/>
                <w:szCs w:val="18"/>
              </w:rPr>
              <w:t xml:space="preserve">High Likelihood</w:t>
            </w:r>
          </w:p>
        </w:tc>
        <w:tc>
          <w:tcPr>
            <w:tcW w:type="dxa" w:w="2600"/>
            <w:tcBorders>
              <w:top w:val="single" w:color="AAAAAA" w:sz="1"/>
              <w:left w:val="single" w:color="AAAAAA" w:sz="1"/>
              <w:bottom w:val="single" w:color="AAAAAA" w:sz="1"/>
              <w:right w:val="single" w:color="AAAAAA" w:sz="1"/>
            </w:tcBorders>
            <w:shd w:fill="92D050"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2600"/>
            <w:tcBorders>
              <w:top w:val="single" w:color="AAAAAA" w:sz="1"/>
              <w:left w:val="single" w:color="AAAAAA" w:sz="1"/>
              <w:bottom w:val="single" w:color="AAAAAA" w:sz="1"/>
              <w:right w:val="single" w:color="AAAAAA" w:sz="1"/>
            </w:tcBorders>
            <w:shd w:fill="FF8C00"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R-02 (High)</w:t>
            </w:r>
          </w:p>
        </w:tc>
        <w:tc>
          <w:tcPr>
            <w:tcW w:type="dxa" w:w="2600"/>
            <w:tcBorders>
              <w:top w:val="single" w:color="AAAAAA" w:sz="1"/>
              <w:left w:val="single" w:color="AAAAAA" w:sz="1"/>
              <w:bottom w:val="single" w:color="AAAAAA" w:sz="1"/>
              <w:right w:val="single" w:color="AAAAAA" w:sz="1"/>
            </w:tcBorders>
            <w:shd w:fill="C00000"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R-01 (Critical)</w:t>
            </w:r>
          </w:p>
        </w:tc>
      </w:tr>
      <w:tr>
        <w:tc>
          <w:tcPr>
            <w:tcW w:type="dxa" w:w="156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vAlign w:val="center"/>
          </w:tcPr>
          <w:p>
            <w:pPr>
              <w:jc w:val="left"/>
            </w:pPr>
            <w:r>
              <w:rPr>
                <w:rFonts w:ascii="Arial" w:cs="Arial" w:eastAsia="Arial" w:hAnsi="Arial"/>
                <w:b/>
                <w:bCs/>
                <w:color w:val="000000"/>
                <w:sz w:val="18"/>
                <w:szCs w:val="18"/>
              </w:rPr>
              <w:t xml:space="preserve">Medium Likelihood</w:t>
            </w:r>
          </w:p>
        </w:tc>
        <w:tc>
          <w:tcPr>
            <w:tcW w:type="dxa" w:w="2600"/>
            <w:tcBorders>
              <w:top w:val="single" w:color="AAAAAA" w:sz="1"/>
              <w:left w:val="single" w:color="AAAAAA" w:sz="1"/>
              <w:bottom w:val="single" w:color="AAAAAA" w:sz="1"/>
              <w:right w:val="single" w:color="AAAAAA" w:sz="1"/>
            </w:tcBorders>
            <w:shd w:fill="92D050"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2600"/>
            <w:tcBorders>
              <w:top w:val="single" w:color="AAAAAA" w:sz="1"/>
              <w:left w:val="single" w:color="AAAAAA" w:sz="1"/>
              <w:bottom w:val="single" w:color="AAAAAA" w:sz="1"/>
              <w:right w:val="single" w:color="AAAAAA" w:sz="1"/>
            </w:tcBorders>
            <w:shd w:fill="FF8C00"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R-04, R-05 (Medium)</w:t>
            </w:r>
          </w:p>
        </w:tc>
        <w:tc>
          <w:tcPr>
            <w:tcW w:type="dxa" w:w="2600"/>
            <w:tcBorders>
              <w:top w:val="single" w:color="AAAAAA" w:sz="1"/>
              <w:left w:val="single" w:color="AAAAAA" w:sz="1"/>
              <w:bottom w:val="single" w:color="AAAAAA" w:sz="1"/>
              <w:right w:val="single" w:color="AAAAAA" w:sz="1"/>
            </w:tcBorders>
            <w:shd w:fill="FF0000"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R-03 (High)</w:t>
            </w:r>
          </w:p>
        </w:tc>
      </w:tr>
      <w:tr>
        <w:tc>
          <w:tcPr>
            <w:tcW w:type="dxa" w:w="156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vAlign w:val="center"/>
          </w:tcPr>
          <w:p>
            <w:pPr>
              <w:jc w:val="left"/>
            </w:pPr>
            <w:r>
              <w:rPr>
                <w:rFonts w:ascii="Arial" w:cs="Arial" w:eastAsia="Arial" w:hAnsi="Arial"/>
                <w:b/>
                <w:bCs/>
                <w:color w:val="000000"/>
                <w:sz w:val="18"/>
                <w:szCs w:val="18"/>
              </w:rPr>
              <w:t xml:space="preserve">Low Likelihood</w:t>
            </w:r>
          </w:p>
        </w:tc>
        <w:tc>
          <w:tcPr>
            <w:tcW w:type="dxa" w:w="2600"/>
            <w:tcBorders>
              <w:top w:val="single" w:color="AAAAAA" w:sz="1"/>
              <w:left w:val="single" w:color="AAAAAA" w:sz="1"/>
              <w:bottom w:val="single" w:color="AAAAAA" w:sz="1"/>
              <w:right w:val="single" w:color="AAAAAA" w:sz="1"/>
            </w:tcBorders>
            <w:shd w:fill="92D050"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2600"/>
            <w:tcBorders>
              <w:top w:val="single" w:color="AAAAAA" w:sz="1"/>
              <w:left w:val="single" w:color="AAAAAA" w:sz="1"/>
              <w:bottom w:val="single" w:color="AAAAAA" w:sz="1"/>
              <w:right w:val="single" w:color="AAAAAA" w:sz="1"/>
            </w:tcBorders>
            <w:shd w:fill="92D050"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2600"/>
            <w:tcBorders>
              <w:top w:val="single" w:color="AAAAAA" w:sz="1"/>
              <w:left w:val="single" w:color="AAAAAA" w:sz="1"/>
              <w:bottom w:val="single" w:color="AAAAAA" w:sz="1"/>
              <w:right w:val="single" w:color="AAAAAA" w:sz="1"/>
            </w:tcBorders>
            <w:shd w:fill="92D050" w:val="clear"/>
            <w:tcMar>
              <w:top w:type="dxa" w:w="100"/>
              <w:left w:type="dxa" w:w="120"/>
              <w:bottom w:type="dxa" w:w="100"/>
              <w:right w:type="dxa" w:w="120"/>
            </w:tcMar>
            <w:vAlign w:val="center"/>
          </w:tcPr>
          <w:p>
            <w:pPr>
              <w:jc w:val="center"/>
            </w:pPr>
            <w:r>
              <w:rPr>
                <w:rFonts w:ascii="Arial" w:cs="Arial" w:eastAsia="Arial" w:hAnsi="Arial"/>
                <w:b w:val="false"/>
                <w:bCs w:val="false"/>
                <w:color w:val="000000"/>
                <w:sz w:val="18"/>
                <w:szCs w:val="18"/>
              </w:rPr>
              <w:t xml:space="preserve">–</w:t>
            </w:r>
          </w:p>
        </w:tc>
      </w:tr>
    </w:tbl>
    <w:p>
      <w:pPr>
        <w:spacing w:after="80" w:before="120"/>
      </w:pPr>
      <w:r>
        <w:rPr>
          <w:rFonts w:ascii="Arial" w:cs="Arial" w:eastAsia="Arial" w:hAnsi="Arial"/>
          <w:b/>
          <w:bCs/>
          <w:color w:val="C00000"/>
          <w:sz w:val="18"/>
          <w:szCs w:val="18"/>
        </w:rPr>
        <w:t xml:space="preserve">Critical risk (R-01): </w:t>
      </w:r>
      <w:r>
        <w:rPr>
          <w:rFonts w:ascii="Arial" w:cs="Arial" w:eastAsia="Arial" w:hAnsi="Arial"/>
          <w:color w:val="000000"/>
          <w:sz w:val="18"/>
          <w:szCs w:val="18"/>
        </w:rPr>
        <w:t xml:space="preserve">Requires immediate remediation — cloud misconfiguration is the leading cause of data breaches in AWS environments (OWASP Top 10: A05 Security Misconfiguration).</w:t>
      </w:r>
    </w:p>
    <w:p>
      <w:pPr>
        <w:spacing w:after="120" w:before="120"/>
      </w:pPr>
    </w:p>
    <w:p>
      <w:pPr>
        <w:pStyle w:val="Heading1"/>
        <w:pBdr>
          <w:bottom w:val="single" w:color="000000" w:sz="6" w:space="4"/>
        </w:pBdr>
        <w:spacing w:after="160" w:before="320"/>
      </w:pPr>
      <w:r>
        <w:rPr>
          <w:rFonts w:ascii="Arial" w:cs="Arial" w:eastAsia="Arial" w:hAnsi="Arial"/>
          <w:b/>
          <w:bCs/>
          <w:color w:val="000000"/>
          <w:sz w:val="28"/>
          <w:szCs w:val="28"/>
        </w:rPr>
        <w:t xml:space="preserve">4. Risk Treatment Summary</w:t>
      </w:r>
    </w:p>
    <w:p>
      <w:pPr>
        <w:spacing w:after="120" w:before="60"/>
      </w:pPr>
      <w:r>
        <w:rPr>
          <w:rFonts w:ascii="Arial" w:cs="Arial" w:eastAsia="Arial" w:hAnsi="Arial"/>
          <w:color w:val="000000"/>
          <w:sz w:val="20"/>
          <w:szCs w:val="20"/>
        </w:rPr>
        <w:t xml:space="preserve">All risks are treated via the Reduce strategy. No risks have been Accepted or Transferred given the high inherent impact on PII and regulatory reputation.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900"/>
        <w:gridCol w:w="2860"/>
        <w:gridCol w:w="2800"/>
        <w:gridCol w:w="120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Risk ID</w:t>
            </w:r>
          </w:p>
        </w:tc>
        <w:tc>
          <w:tcPr>
            <w:tcW w:type="dxa" w:w="9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Treatment</w:t>
            </w:r>
          </w:p>
        </w:tc>
        <w:tc>
          <w:tcPr>
            <w:tcW w:type="dxa" w:w="9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Inherent Risk</w:t>
            </w:r>
          </w:p>
        </w:tc>
        <w:tc>
          <w:tcPr>
            <w:tcW w:type="dxa" w:w="286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Action</w:t>
            </w:r>
          </w:p>
        </w:tc>
        <w:tc>
          <w:tcPr>
            <w:tcW w:type="dxa" w:w="2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Status</w:t>
            </w:r>
          </w:p>
        </w:tc>
        <w:tc>
          <w:tcPr>
            <w:tcW w:type="dxa" w:w="1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Residual Risk</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0000"/>
                <w:sz w:val="18"/>
                <w:szCs w:val="18"/>
              </w:rPr>
              <w:t xml:space="preserve">R-01</w:t>
            </w:r>
          </w:p>
        </w:tc>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Reduce</w:t>
            </w:r>
          </w:p>
        </w:tc>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Critical</w:t>
            </w:r>
          </w:p>
        </w:tc>
        <w:tc>
          <w:tcPr>
            <w:tcW w:type="dxa" w:w="28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AWS Config + S3 Block Public Access; monthly IAM reviews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Immediate — In Progress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b/>
                <w:bCs/>
                <w:color w:val="375623"/>
                <w:sz w:val="18"/>
                <w:szCs w:val="18"/>
              </w:rPr>
              <w:t xml:space="preserve">Low</w:t>
            </w:r>
          </w:p>
        </w:tc>
      </w:tr>
      <w:tr>
        <w:tc>
          <w:tcPr>
            <w:tcW w:type="dxa" w:w="7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vAlign w:val="center"/>
          </w:tcPr>
          <w:p>
            <w:pPr>
              <w:jc w:val="center"/>
            </w:pPr>
            <w:r>
              <w:rPr>
                <w:rFonts w:ascii="Arial" w:cs="Arial" w:eastAsia="Arial" w:hAnsi="Arial"/>
                <w:b/>
                <w:bCs/>
                <w:color w:val="000000"/>
                <w:sz w:val="18"/>
                <w:szCs w:val="18"/>
              </w:rPr>
              <w:t xml:space="preserve">R-02</w:t>
            </w:r>
          </w:p>
        </w:tc>
        <w:tc>
          <w:tcPr>
            <w:tcW w:type="dxa" w:w="9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Reduce</w:t>
            </w:r>
          </w:p>
        </w:tc>
        <w:tc>
          <w:tcPr>
            <w:tcW w:type="dxa" w:w="9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vAlign w:val="center"/>
          </w:tcPr>
          <w:p>
            <w:pPr>
              <w:jc w:val="center"/>
            </w:pPr>
            <w:r>
              <w:rPr>
                <w:rFonts w:ascii="Arial" w:cs="Arial" w:eastAsia="Arial" w:hAnsi="Arial"/>
                <w:b/>
                <w:bCs/>
                <w:color w:val="FF0000"/>
                <w:sz w:val="18"/>
                <w:szCs w:val="18"/>
              </w:rPr>
              <w:t xml:space="preserve">High</w:t>
            </w:r>
          </w:p>
        </w:tc>
        <w:tc>
          <w:tcPr>
            <w:tcW w:type="dxa" w:w="286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Enforce MFA for all IAM users; quarterly phishing simulations</w:t>
            </w:r>
          </w:p>
        </w:tc>
        <w:tc>
          <w:tcPr>
            <w:tcW w:type="dxa" w:w="28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Planned (May 2026)</w:t>
            </w:r>
          </w:p>
        </w:tc>
        <w:tc>
          <w:tcPr>
            <w:tcW w:type="dxa" w:w="12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vAlign w:val="center"/>
          </w:tcPr>
          <w:p>
            <w:pPr>
              <w:jc w:val="center"/>
            </w:pPr>
            <w:r>
              <w:rPr>
                <w:rFonts w:ascii="Arial" w:cs="Arial" w:eastAsia="Arial" w:hAnsi="Arial"/>
                <w:b/>
                <w:bCs/>
                <w:color w:val="375623"/>
                <w:sz w:val="18"/>
                <w:szCs w:val="18"/>
              </w:rPr>
              <w:t xml:space="preserve">Low</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0000"/>
                <w:sz w:val="18"/>
                <w:szCs w:val="18"/>
              </w:rPr>
              <w:t xml:space="preserve">R-03</w:t>
            </w:r>
          </w:p>
        </w:tc>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Reduce</w:t>
            </w:r>
          </w:p>
        </w:tc>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b/>
                <w:bCs/>
                <w:color w:val="FF0000"/>
                <w:sz w:val="18"/>
                <w:szCs w:val="18"/>
              </w:rPr>
              <w:t xml:space="preserve">High</w:t>
            </w:r>
          </w:p>
        </w:tc>
        <w:tc>
          <w:tcPr>
            <w:tcW w:type="dxa" w:w="28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Deploy AWS Inspector; 7-day patch SLA for critical CVEs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Planned (May 2026)</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b/>
                <w:bCs/>
                <w:color w:val="FF8C00"/>
                <w:sz w:val="18"/>
                <w:szCs w:val="18"/>
              </w:rPr>
              <w:t xml:space="preserve">Medium</w:t>
            </w:r>
          </w:p>
        </w:tc>
      </w:tr>
      <w:tr>
        <w:tc>
          <w:tcPr>
            <w:tcW w:type="dxa" w:w="7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vAlign w:val="center"/>
          </w:tcPr>
          <w:p>
            <w:pPr>
              <w:jc w:val="center"/>
            </w:pPr>
            <w:r>
              <w:rPr>
                <w:rFonts w:ascii="Arial" w:cs="Arial" w:eastAsia="Arial" w:hAnsi="Arial"/>
                <w:b/>
                <w:bCs/>
                <w:color w:val="000000"/>
                <w:sz w:val="18"/>
                <w:szCs w:val="18"/>
              </w:rPr>
              <w:t xml:space="preserve">R-04</w:t>
            </w:r>
          </w:p>
        </w:tc>
        <w:tc>
          <w:tcPr>
            <w:tcW w:type="dxa" w:w="9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Reduce</w:t>
            </w:r>
          </w:p>
        </w:tc>
        <w:tc>
          <w:tcPr>
            <w:tcW w:type="dxa" w:w="9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vAlign w:val="center"/>
          </w:tcPr>
          <w:p>
            <w:pPr>
              <w:jc w:val="center"/>
            </w:pPr>
            <w:r>
              <w:rPr>
                <w:rFonts w:ascii="Arial" w:cs="Arial" w:eastAsia="Arial" w:hAnsi="Arial"/>
                <w:b/>
                <w:bCs/>
                <w:color w:val="FF8C00"/>
                <w:sz w:val="18"/>
                <w:szCs w:val="18"/>
              </w:rPr>
              <w:t xml:space="preserve">Medium</w:t>
            </w:r>
          </w:p>
        </w:tc>
        <w:tc>
          <w:tcPr>
            <w:tcW w:type="dxa" w:w="286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NIST-compliant password policy; enforce MFA</w:t>
            </w:r>
          </w:p>
        </w:tc>
        <w:tc>
          <w:tcPr>
            <w:tcW w:type="dxa" w:w="28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Immediate — In Progress</w:t>
            </w:r>
          </w:p>
        </w:tc>
        <w:tc>
          <w:tcPr>
            <w:tcW w:type="dxa" w:w="12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vAlign w:val="center"/>
          </w:tcPr>
          <w:p>
            <w:pPr>
              <w:jc w:val="center"/>
            </w:pPr>
            <w:r>
              <w:rPr>
                <w:rFonts w:ascii="Arial" w:cs="Arial" w:eastAsia="Arial" w:hAnsi="Arial"/>
                <w:b/>
                <w:bCs/>
                <w:color w:val="375623"/>
                <w:sz w:val="18"/>
                <w:szCs w:val="18"/>
              </w:rPr>
              <w:t xml:space="preserve">Low</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b/>
                <w:bCs/>
                <w:color w:val="000000"/>
                <w:sz w:val="18"/>
                <w:szCs w:val="18"/>
              </w:rPr>
              <w:t xml:space="preserve">R-05</w:t>
            </w:r>
          </w:p>
        </w:tc>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Reduce</w:t>
            </w:r>
          </w:p>
        </w:tc>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b/>
                <w:bCs/>
                <w:color w:val="FF8C00"/>
                <w:sz w:val="18"/>
                <w:szCs w:val="18"/>
              </w:rPr>
              <w:t xml:space="preserve">Medium</w:t>
            </w:r>
          </w:p>
        </w:tc>
        <w:tc>
          <w:tcPr>
            <w:tcW w:type="dxa" w:w="28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Deploy AWS WAF + rate-based rules; AWS Shield Standard</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Planned (Jun 2026)</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b/>
                <w:bCs/>
                <w:color w:val="375623"/>
                <w:sz w:val="18"/>
                <w:szCs w:val="18"/>
              </w:rPr>
              <w:t xml:space="preserve">Low</w:t>
            </w:r>
          </w:p>
        </w:tc>
      </w:tr>
    </w:tbl>
    <w:p>
      <w:pPr>
        <w:spacing w:after="120" w:before="120"/>
      </w:pPr>
    </w:p>
    <w:p>
      <w:pPr>
        <w:pStyle w:val="Heading1"/>
        <w:pBdr>
          <w:bottom w:val="single" w:color="000000" w:sz="6" w:space="4"/>
        </w:pBdr>
        <w:spacing w:after="160" w:before="320"/>
      </w:pPr>
      <w:r>
        <w:rPr>
          <w:rFonts w:ascii="Arial" w:cs="Arial" w:eastAsia="Arial" w:hAnsi="Arial"/>
          <w:b/>
          <w:bCs/>
          <w:color w:val="000000"/>
          <w:sz w:val="28"/>
          <w:szCs w:val="28"/>
        </w:rPr>
        <w:t xml:space="preserve">5. Methodology</w:t>
      </w:r>
    </w:p>
    <w:p>
      <w:pPr>
        <w:pStyle w:val="Heading2"/>
        <w:spacing w:after="120" w:before="240"/>
      </w:pPr>
      <w:r>
        <w:rPr>
          <w:rFonts w:ascii="Arial" w:cs="Arial" w:eastAsia="Arial" w:hAnsi="Arial"/>
          <w:b/>
          <w:bCs/>
          <w:color w:val="000000"/>
          <w:sz w:val="24"/>
          <w:szCs w:val="24"/>
        </w:rPr>
        <w:t xml:space="preserve">Scoring Approach</w:t>
      </w:r>
    </w:p>
    <w:p>
      <w:pPr>
        <w:spacing w:after="60" w:before="60"/>
      </w:pPr>
      <w:r>
        <w:rPr>
          <w:rFonts w:ascii="Arial" w:cs="Arial" w:eastAsia="Arial" w:hAnsi="Arial"/>
          <w:b/>
          <w:bCs/>
          <w:sz w:val="20"/>
          <w:szCs w:val="20"/>
        </w:rPr>
        <w:t xml:space="preserve">Likelihood &amp; Impact: </w:t>
      </w:r>
      <w:r>
        <w:rPr>
          <w:rFonts w:ascii="Arial" w:cs="Arial" w:eastAsia="Arial" w:hAnsi="Arial"/>
          <w:sz w:val="20"/>
          <w:szCs w:val="20"/>
        </w:rPr>
        <w:t xml:space="preserve">Qualitative scoring (High / Medium / Low) based on CIS, OWASP Top 10, and AWS best practices</w:t>
      </w:r>
    </w:p>
    <w:p>
      <w:pPr>
        <w:spacing w:after="60" w:before="60"/>
      </w:pPr>
      <w:r>
        <w:rPr>
          <w:rFonts w:ascii="Arial" w:cs="Arial" w:eastAsia="Arial" w:hAnsi="Arial"/>
          <w:b/>
          <w:bCs/>
          <w:sz w:val="20"/>
          <w:szCs w:val="20"/>
        </w:rPr>
        <w:t xml:space="preserve">Risk Calculation: </w:t>
      </w:r>
      <w:r>
        <w:rPr>
          <w:rFonts w:ascii="Arial" w:cs="Arial" w:eastAsia="Arial" w:hAnsi="Arial"/>
          <w:sz w:val="20"/>
          <w:szCs w:val="20"/>
        </w:rPr>
        <w:t xml:space="preserve">Inherent Risk = Likelihood × Impact; Critical override applied to all High-High combinations</w:t>
      </w:r>
    </w:p>
    <w:p>
      <w:pPr>
        <w:spacing w:after="60" w:before="60"/>
      </w:pPr>
      <w:r>
        <w:rPr>
          <w:rFonts w:ascii="Arial" w:cs="Arial" w:eastAsia="Arial" w:hAnsi="Arial"/>
          <w:b/>
          <w:bCs/>
          <w:sz w:val="20"/>
          <w:szCs w:val="20"/>
        </w:rPr>
        <w:t xml:space="preserve">Residual Risk: </w:t>
      </w:r>
      <w:r>
        <w:rPr>
          <w:rFonts w:ascii="Arial" w:cs="Arial" w:eastAsia="Arial" w:hAnsi="Arial"/>
          <w:sz w:val="20"/>
          <w:szCs w:val="20"/>
        </w:rPr>
        <w:t xml:space="preserve">Re-evaluated post-control using same qualitative scale</w:t>
      </w:r>
    </w:p>
    <w:p>
      <w:pPr>
        <w:spacing w:after="120" w:before="120"/>
      </w:pPr>
    </w:p>
    <w:p>
      <w:pPr>
        <w:pStyle w:val="Heading2"/>
        <w:spacing w:after="120" w:before="240"/>
      </w:pPr>
      <w:r>
        <w:rPr>
          <w:rFonts w:ascii="Arial" w:cs="Arial" w:eastAsia="Arial" w:hAnsi="Arial"/>
          <w:b/>
          <w:bCs/>
          <w:color w:val="000000"/>
          <w:sz w:val="24"/>
          <w:szCs w:val="24"/>
        </w:rPr>
        <w:t xml:space="preserve">Framework Cross-Mapping</w:t>
      </w:r>
    </w:p>
    <w:p>
      <w:pPr>
        <w:spacing w:after="60" w:before="60"/>
      </w:pPr>
      <w:r>
        <w:rPr>
          <w:rFonts w:ascii="Arial" w:cs="Arial" w:eastAsia="Arial" w:hAnsi="Arial"/>
          <w:b/>
          <w:bCs/>
          <w:sz w:val="20"/>
          <w:szCs w:val="20"/>
        </w:rPr>
        <w:t xml:space="preserve">ISO 27001 Annex A: </w:t>
      </w:r>
      <w:r>
        <w:rPr>
          <w:rFonts w:ascii="Arial" w:cs="Arial" w:eastAsia="Arial" w:hAnsi="Arial"/>
          <w:sz w:val="20"/>
          <w:szCs w:val="20"/>
        </w:rPr>
        <w:t xml:space="preserve">A.8 (Asset Management), A.9 (Access Control), A.12 (Operations Security), A.16 (Incident Management)</w:t>
      </w:r>
    </w:p>
    <w:p>
      <w:pPr>
        <w:spacing w:after="60" w:before="60"/>
      </w:pPr>
      <w:r>
        <w:rPr>
          <w:rFonts w:ascii="Arial" w:cs="Arial" w:eastAsia="Arial" w:hAnsi="Arial"/>
          <w:b/>
          <w:bCs/>
          <w:sz w:val="20"/>
          <w:szCs w:val="20"/>
        </w:rPr>
        <w:t xml:space="preserve">NIST CSF: </w:t>
      </w:r>
      <w:r>
        <w:rPr>
          <w:rFonts w:ascii="Arial" w:cs="Arial" w:eastAsia="Arial" w:hAnsi="Arial"/>
          <w:sz w:val="20"/>
          <w:szCs w:val="20"/>
        </w:rPr>
        <w:t xml:space="preserve">Identify, Protect, Detect, Respond functions mapped to each control</w:t>
      </w:r>
    </w:p>
    <w:p>
      <w:pPr>
        <w:spacing w:after="60" w:before="60"/>
      </w:pPr>
      <w:r>
        <w:rPr>
          <w:rFonts w:ascii="Arial" w:cs="Arial" w:eastAsia="Arial" w:hAnsi="Arial"/>
          <w:b/>
          <w:bCs/>
          <w:sz w:val="20"/>
          <w:szCs w:val="20"/>
        </w:rPr>
        <w:t xml:space="preserve">NIST RMF: </w:t>
      </w:r>
      <w:r>
        <w:rPr>
          <w:rFonts w:ascii="Arial" w:cs="Arial" w:eastAsia="Arial" w:hAnsi="Arial"/>
          <w:sz w:val="20"/>
          <w:szCs w:val="20"/>
        </w:rPr>
        <w:t xml:space="preserve">Risk framing, assessment, response, and monitoring lifecycle applied throughout</w:t>
      </w:r>
    </w:p>
    <w:p>
      <w:pPr>
        <w:spacing w:after="60" w:before="60"/>
      </w:pPr>
      <w:r>
        <w:rPr>
          <w:rFonts w:ascii="Arial" w:cs="Arial" w:eastAsia="Arial" w:hAnsi="Arial"/>
          <w:b/>
          <w:bCs/>
          <w:sz w:val="20"/>
          <w:szCs w:val="20"/>
        </w:rPr>
        <w:t xml:space="preserve">OWASP Top 10: </w:t>
      </w:r>
      <w:r>
        <w:rPr>
          <w:rFonts w:ascii="Arial" w:cs="Arial" w:eastAsia="Arial" w:hAnsi="Arial"/>
          <w:sz w:val="20"/>
          <w:szCs w:val="20"/>
        </w:rPr>
        <w:t xml:space="preserve">A01 (Broken Access Control), A05 (Security Misconfiguration) referenced for R-01 and R-02</w:t>
      </w:r>
    </w:p>
    <w:p>
      <w:pPr>
        <w:spacing w:after="120" w:before="120"/>
      </w:pPr>
    </w:p>
    <w:p>
      <w:pPr>
        <w:pStyle w:val="Heading1"/>
        <w:pBdr>
          <w:bottom w:val="single" w:color="000000" w:sz="6" w:space="4"/>
        </w:pBdr>
        <w:spacing w:after="160" w:before="320"/>
      </w:pPr>
      <w:r>
        <w:rPr>
          <w:rFonts w:ascii="Arial" w:cs="Arial" w:eastAsia="Arial" w:hAnsi="Arial"/>
          <w:b/>
          <w:bCs/>
          <w:color w:val="000000"/>
          <w:sz w:val="28"/>
          <w:szCs w:val="28"/>
        </w:rPr>
        <w:t xml:space="preserve">6.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rPr>
          <w:tblHeader/>
        </w:trPr>
        <w:tc>
          <w:tcPr>
            <w:tcW w:type="dxa" w:w="156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Version</w:t>
            </w:r>
          </w:p>
        </w:tc>
        <w:tc>
          <w:tcPr>
            <w:tcW w:type="dxa" w:w="156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Date</w:t>
            </w:r>
          </w:p>
        </w:tc>
        <w:tc>
          <w:tcPr>
            <w:tcW w:type="dxa" w:w="312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Author</w:t>
            </w:r>
          </w:p>
        </w:tc>
        <w:tc>
          <w:tcPr>
            <w:tcW w:type="dxa" w:w="312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Status</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1.0</w:t>
            </w:r>
          </w:p>
        </w:tc>
        <w:tc>
          <w:tcPr>
            <w:tcW w:type="dxa" w:w="15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April 2026</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Subarna Tamang</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Final — Portfolio Submission</w:t>
            </w:r>
          </w:p>
        </w:tc>
      </w:tr>
    </w:tbl>
    <w:p>
      <w:pPr>
        <w:spacing w:after="120" w:before="120"/>
      </w:pPr>
    </w:p>
    <w:p>
      <w:pPr>
        <w:spacing w:after="0" w:before="80"/>
      </w:pPr>
      <w:r>
        <w:rPr>
          <w:rFonts w:ascii="Arial" w:cs="Arial" w:eastAsia="Arial" w:hAnsi="Arial"/>
          <w:i/>
          <w:iCs/>
          <w:color w:val="000000"/>
          <w:sz w:val="18"/>
          <w:szCs w:val="18"/>
        </w:rPr>
        <w:t xml:space="preserve">Full risk register, control heatmaps, and supporting artefacts available on request.</w:t>
      </w: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jc w:val="right"/>
    </w:pPr>
    <w:r>
      <w:rPr>
        <w:rFonts w:ascii="Arial" w:cs="Arial" w:eastAsia="Arial" w:hAnsi="Arial"/>
        <w:color w:val="000000"/>
        <w:sz w:val="16"/>
        <w:szCs w:val="16"/>
      </w:rPr>
      <w:t xml:space="preserve">Frameworks: ISO 27001 | NIST RMF | OWASP Top 10 | CIS Controls   |   Page </w:t>
    </w:r>
    <w:r>
      <w:rPr>
        <w:rFonts w:ascii="Arial" w:cs="Arial" w:eastAsia="Arial" w:hAnsi="Arial"/>
        <w:color w:val="00000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spacing w:after="120"/>
    </w:pPr>
    <w:r>
      <w:rPr>
        <w:rFonts w:ascii="Arial" w:cs="Arial" w:eastAsia="Arial" w:hAnsi="Arial"/>
        <w:b/>
        <w:bCs/>
        <w:color w:val="000000"/>
        <w:sz w:val="20"/>
        <w:szCs w:val="20"/>
      </w:rPr>
      <w:t xml:space="preserve">Cyber Risk Assessment Portfolio  |  Subarna Tamang</w:t>
    </w:r>
    <w:r>
      <w:rPr>
        <w:rFonts w:ascii="Arial" w:cs="Arial" w:eastAsia="Arial" w:hAnsi="Arial"/>
        <w:color w:val="000000"/>
        <w:sz w:val="18"/>
        <w:szCs w:val="18"/>
      </w:rPr>
      <w:t xml:space="preserve">   ·   GRC &amp; Cyber Risk Analyst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0000"/>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2026-04-30T10:06:38.200Z</dcterms:created>
  <dcterms:modified xsi:type="dcterms:W3CDTF">2026-04-30T10:06:38.201Z</dcterms:modified>
</cp:coreProperties>
</file>

<file path=docProps/custom.xml><?xml version="1.0" encoding="utf-8"?>
<Properties xmlns="http://schemas.openxmlformats.org/officeDocument/2006/custom-properties" xmlns:vt="http://schemas.openxmlformats.org/officeDocument/2006/docPropsVTypes"/>
</file>