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pPr>
      <w:r>
        <w:rPr>
          <w:b/>
          <w:color w:val="2F75B5"/>
          <w:sz w:val="22"/>
        </w:rPr>
        <w:t>CASE STUDY</w:t>
      </w:r>
    </w:p>
    <w:p>
      <w:pPr>
        <w:pStyle w:val="Title"/>
      </w:pPr>
      <w:r>
        <w:t>Radiology Study Triage and Worklist Prioritisation</w:t>
      </w:r>
    </w:p>
    <w:p>
      <w:pPr>
        <w:spacing w:after="480"/>
      </w:pPr>
      <w:r>
        <w:rPr>
          <w:color w:val="5B6570"/>
          <w:sz w:val="32"/>
        </w:rPr>
        <w:t>AI Diagnostic and Radiology Screening Triage Assistant</w:t>
      </w:r>
    </w:p>
    <w:p>
      <w:pPr>
        <w:pStyle w:val="BodyText"/>
      </w:pPr>
      <w:r>
        <w:t>A complete case study of the chest X-ray journey from clinical request to result clarification, centred on AI-assisted triage that helps radiologists decide which available study to review first.</w:t>
      </w:r>
    </w:p>
    <w:p>
      <w:pPr>
        <w:pStyle w:val="BodyText"/>
      </w:pPr>
      <w:r>
        <w:t>Primary use case: triage and prioritisation of studies for radiologist review. Ordering, identity verification, PACS storage, image viewing, reporting, result access, follow-up comparison, and clarification form the end-to-end workflow that enables and completes the triage decision.</w:t>
      </w:r>
    </w:p>
    <w:tbl>
      <w:tblPr>
        <w:tblW w:type="auto" w:w="0"/>
        <w:jc w:val="left"/>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97"/>
        <w:gridCol w:w="4997"/>
      </w:tblGrid>
      <w:tr>
        <w:tc>
          <w:tcPr>
            <w:tcW w:type="dxa" w:w="4997"/>
            <w:shd w:fill="EAF2F8"/>
            <w:tcMar>
              <w:top w:w="105" w:type="dxa"/>
              <w:start w:w="125" w:type="dxa"/>
              <w:bottom w:w="105" w:type="dxa"/>
              <w:end w:w="125" w:type="dxa"/>
            </w:tcMar>
            <w:vAlign w:val="center"/>
          </w:tcPr>
          <w:p>
            <w:r>
              <w:rPr>
                <w:b/>
              </w:rPr>
              <w:t>Audience</w:t>
            </w:r>
          </w:p>
        </w:tc>
        <w:tc>
          <w:tcPr>
            <w:tcW w:type="dxa" w:w="4997"/>
            <w:tcMar>
              <w:top w:w="105" w:type="dxa"/>
              <w:start w:w="125" w:type="dxa"/>
              <w:bottom w:w="105" w:type="dxa"/>
              <w:end w:w="125" w:type="dxa"/>
            </w:tcMar>
            <w:vAlign w:val="center"/>
          </w:tcPr>
          <w:p>
            <w:r>
              <w:t>Radiology, clinical operations, AI governance, and technology leadership</w:t>
            </w:r>
          </w:p>
        </w:tc>
      </w:tr>
      <w:tr>
        <w:tc>
          <w:tcPr>
            <w:tcW w:type="dxa" w:w="4997"/>
            <w:shd w:fill="EAF2F8"/>
            <w:tcMar>
              <w:top w:w="105" w:type="dxa"/>
              <w:start w:w="125" w:type="dxa"/>
              <w:bottom w:w="105" w:type="dxa"/>
              <w:end w:w="125" w:type="dxa"/>
            </w:tcMar>
            <w:vAlign w:val="center"/>
          </w:tcPr>
          <w:p>
            <w:r>
              <w:rPr>
                <w:b/>
              </w:rPr>
              <w:t>Current maturity</w:t>
            </w:r>
          </w:p>
        </w:tc>
        <w:tc>
          <w:tcPr>
            <w:tcW w:type="dxa" w:w="4997"/>
            <w:tcMar>
              <w:top w:w="105" w:type="dxa"/>
              <w:start w:w="125" w:type="dxa"/>
              <w:bottom w:w="105" w:type="dxa"/>
              <w:end w:w="125" w:type="dxa"/>
            </w:tcMar>
            <w:vAlign w:val="center"/>
          </w:tcPr>
          <w:p>
            <w:r>
              <w:t>Controlled demonstration and internal pilot candidate</w:t>
            </w:r>
          </w:p>
        </w:tc>
      </w:tr>
      <w:tr>
        <w:tc>
          <w:tcPr>
            <w:tcW w:type="dxa" w:w="4997"/>
            <w:shd w:fill="EAF2F8"/>
            <w:tcMar>
              <w:top w:w="105" w:type="dxa"/>
              <w:start w:w="125" w:type="dxa"/>
              <w:bottom w:w="105" w:type="dxa"/>
              <w:end w:w="125" w:type="dxa"/>
            </w:tcMar>
            <w:vAlign w:val="center"/>
          </w:tcPr>
          <w:p>
            <w:r>
              <w:rPr>
                <w:b/>
              </w:rPr>
              <w:t>Review date</w:t>
            </w:r>
          </w:p>
        </w:tc>
        <w:tc>
          <w:tcPr>
            <w:tcW w:type="dxa" w:w="4997"/>
            <w:tcMar>
              <w:top w:w="105" w:type="dxa"/>
              <w:start w:w="125" w:type="dxa"/>
              <w:bottom w:w="105" w:type="dxa"/>
              <w:end w:w="125" w:type="dxa"/>
            </w:tcMar>
            <w:vAlign w:val="center"/>
          </w:tcPr>
          <w:p>
            <w:r>
              <w:t>30 September 2026</w:t>
            </w:r>
          </w:p>
        </w:tc>
      </w:tr>
    </w:tbl>
    <w:p>
      <w:pPr>
        <w:pStyle w:val="Heading1"/>
        <w:keepNext/>
        <w:pageBreakBefore/>
      </w:pPr>
      <w:r>
        <w:t>Executive Summary</w:t>
      </w:r>
    </w:p>
    <w:p>
      <w:pPr>
        <w:pStyle w:val="BodyText"/>
      </w:pPr>
      <w:r>
        <w:t>The primary purpose of the solution is to help radiologists decide which available chest X-ray study to review first. Each eligible uploaded study is screened by two AI components. A deterministic decision service combines those signals into High Priority, Review Flag, or Routine. The worklist then places unread studies ahead of viewed studies and orders each group by triage category and screening probability.</w:t>
      </w:r>
    </w:p>
    <w:p>
      <w:pPr>
        <w:pStyle w:val="BodyText"/>
      </w:pPr>
      <w:r>
        <w:t>This is workflow prioritisation, not diagnosis. The category is an attention-management signal; every study still requires radiologist interpretation. A High Priority label recommends prompt review but does not confirm a critical result or trigger autonomous emergency escalation.</w:t>
      </w:r>
    </w:p>
    <w:p>
      <w:pPr>
        <w:pStyle w:val="Heading2"/>
        <w:keepNext/>
      </w:pPr>
      <w:r>
        <w:t>The Use Case in One Sentence</w:t>
      </w:r>
    </w:p>
    <w:p>
      <w:pPr>
        <w:pStyle w:val="BodyText"/>
      </w:pPr>
      <w:r>
        <w:t>When multiple chest X-ray studies are waiting, the assistant identifies which studies may deserve earlier radiologist attention and makes the reason visible in the same review workspace.</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3331"/>
        <w:gridCol w:w="3331"/>
        <w:gridCol w:w="3331"/>
      </w:tblGrid>
      <w:tr>
        <w:trPr>
          <w:tblHeader w:val="true"/>
        </w:trPr>
        <w:tc>
          <w:tcPr>
            <w:tcW w:type="dxa" w:w="2304"/>
            <w:shd w:fill="18324A"/>
            <w:tcMar>
              <w:top w:w="105" w:type="dxa"/>
              <w:start w:w="125" w:type="dxa"/>
              <w:bottom w:w="105" w:type="dxa"/>
              <w:end w:w="125" w:type="dxa"/>
            </w:tcMar>
            <w:vAlign w:val="center"/>
          </w:tcPr>
          <w:p>
            <w:pPr>
              <w:jc w:val="center"/>
            </w:pPr>
            <w:r>
              <w:rPr>
                <w:b/>
                <w:color w:val="FFFFFF"/>
                <w:sz w:val="16"/>
              </w:rPr>
              <w:t>Primary objective</w:t>
            </w:r>
          </w:p>
        </w:tc>
        <w:tc>
          <w:tcPr>
            <w:tcW w:type="dxa" w:w="3672"/>
            <w:shd w:fill="18324A"/>
            <w:tcMar>
              <w:top w:w="105" w:type="dxa"/>
              <w:start w:w="125" w:type="dxa"/>
              <w:bottom w:w="105" w:type="dxa"/>
              <w:end w:w="125" w:type="dxa"/>
            </w:tcMar>
            <w:vAlign w:val="center"/>
          </w:tcPr>
          <w:p>
            <w:pPr>
              <w:jc w:val="center"/>
            </w:pPr>
            <w:r>
              <w:rPr>
                <w:b/>
                <w:color w:val="FFFFFF"/>
                <w:sz w:val="16"/>
              </w:rPr>
              <w:t>Mechanism</w:t>
            </w:r>
          </w:p>
        </w:tc>
        <w:tc>
          <w:tcPr>
            <w:tcW w:type="dxa" w:w="3672"/>
            <w:shd w:fill="18324A"/>
            <w:tcMar>
              <w:top w:w="105" w:type="dxa"/>
              <w:start w:w="125" w:type="dxa"/>
              <w:bottom w:w="105" w:type="dxa"/>
              <w:end w:w="125" w:type="dxa"/>
            </w:tcMar>
            <w:vAlign w:val="center"/>
          </w:tcPr>
          <w:p>
            <w:pPr>
              <w:jc w:val="center"/>
            </w:pPr>
            <w:r>
              <w:rPr>
                <w:b/>
                <w:color w:val="FFFFFF"/>
                <w:sz w:val="16"/>
              </w:rPr>
              <w:t>Expected operational effect</w:t>
            </w:r>
          </w:p>
        </w:tc>
      </w:tr>
      <w:tr>
        <w:tc>
          <w:tcPr>
            <w:tcW w:type="dxa" w:w="2304"/>
            <w:tcMar>
              <w:top w:w="105" w:type="dxa"/>
              <w:start w:w="125" w:type="dxa"/>
              <w:bottom w:w="105" w:type="dxa"/>
              <w:end w:w="125" w:type="dxa"/>
            </w:tcMar>
            <w:vAlign w:val="center"/>
          </w:tcPr>
          <w:p>
            <w:pPr>
              <w:spacing w:after="0" w:line="252" w:lineRule="auto"/>
            </w:pPr>
            <w:r>
              <w:rPr>
                <w:sz w:val="16"/>
              </w:rPr>
              <w:t>Prioritise studies for review</w:t>
            </w:r>
          </w:p>
        </w:tc>
        <w:tc>
          <w:tcPr>
            <w:tcW w:type="dxa" w:w="3672"/>
            <w:tcMar>
              <w:top w:w="105" w:type="dxa"/>
              <w:start w:w="125" w:type="dxa"/>
              <w:bottom w:w="105" w:type="dxa"/>
              <w:end w:w="125" w:type="dxa"/>
            </w:tcMar>
            <w:vAlign w:val="center"/>
          </w:tcPr>
          <w:p>
            <w:pPr>
              <w:spacing w:after="0" w:line="252" w:lineRule="auto"/>
            </w:pPr>
            <w:r>
              <w:rPr>
                <w:sz w:val="16"/>
              </w:rPr>
              <w:t>Combine classification and localisation signals into a fixed category and sort the worklist.</w:t>
            </w:r>
          </w:p>
        </w:tc>
        <w:tc>
          <w:tcPr>
            <w:tcW w:type="dxa" w:w="3672"/>
            <w:tcMar>
              <w:top w:w="105" w:type="dxa"/>
              <w:start w:w="125" w:type="dxa"/>
              <w:bottom w:w="105" w:type="dxa"/>
              <w:end w:w="125" w:type="dxa"/>
            </w:tcMar>
            <w:vAlign w:val="center"/>
          </w:tcPr>
          <w:p>
            <w:pPr>
              <w:spacing w:after="0" w:line="252" w:lineRule="auto"/>
            </w:pPr>
            <w:r>
              <w:rPr>
                <w:sz w:val="16"/>
              </w:rPr>
              <w:t>Potentially reduce waiting time for suspicious studies while preserving radiologist control.</w:t>
            </w:r>
          </w:p>
        </w:tc>
      </w:tr>
      <w:tr>
        <w:tc>
          <w:tcPr>
            <w:tcW w:type="dxa" w:w="2304"/>
            <w:tcMar>
              <w:top w:w="105" w:type="dxa"/>
              <w:start w:w="125" w:type="dxa"/>
              <w:bottom w:w="105" w:type="dxa"/>
              <w:end w:w="125" w:type="dxa"/>
            </w:tcMar>
            <w:vAlign w:val="center"/>
            <w:shd w:fill="F5F8FA"/>
          </w:tcPr>
          <w:p>
            <w:pPr>
              <w:spacing w:after="0" w:line="252" w:lineRule="auto"/>
            </w:pPr>
            <w:r>
              <w:rPr>
                <w:sz w:val="16"/>
              </w:rPr>
              <w:t>Explain the priority</w:t>
            </w:r>
          </w:p>
        </w:tc>
        <w:tc>
          <w:tcPr>
            <w:tcW w:type="dxa" w:w="3672"/>
            <w:tcMar>
              <w:top w:w="105" w:type="dxa"/>
              <w:start w:w="125" w:type="dxa"/>
              <w:bottom w:w="105" w:type="dxa"/>
              <w:end w:w="125" w:type="dxa"/>
            </w:tcMar>
            <w:vAlign w:val="center"/>
            <w:shd w:fill="F5F8FA"/>
          </w:tcPr>
          <w:p>
            <w:pPr>
              <w:spacing w:after="0" w:line="252" w:lineRule="auto"/>
            </w:pPr>
            <w:r>
              <w:rPr>
                <w:sz w:val="16"/>
              </w:rPr>
              <w:t>Show screening probability, candidate regions, category, and deterministic reason.</w:t>
            </w:r>
          </w:p>
        </w:tc>
        <w:tc>
          <w:tcPr>
            <w:tcW w:type="dxa" w:w="3672"/>
            <w:tcMar>
              <w:top w:w="105" w:type="dxa"/>
              <w:start w:w="125" w:type="dxa"/>
              <w:bottom w:w="105" w:type="dxa"/>
              <w:end w:w="125" w:type="dxa"/>
            </w:tcMar>
            <w:vAlign w:val="center"/>
            <w:shd w:fill="F5F8FA"/>
          </w:tcPr>
          <w:p>
            <w:pPr>
              <w:spacing w:after="0" w:line="252" w:lineRule="auto"/>
            </w:pPr>
            <w:r>
              <w:rPr>
                <w:sz w:val="16"/>
              </w:rPr>
              <w:t>Help the reader understand why a study moved up the queue.</w:t>
            </w:r>
          </w:p>
        </w:tc>
      </w:tr>
      <w:tr>
        <w:tc>
          <w:tcPr>
            <w:tcW w:type="dxa" w:w="2304"/>
            <w:tcMar>
              <w:top w:w="105" w:type="dxa"/>
              <w:start w:w="125" w:type="dxa"/>
              <w:bottom w:w="105" w:type="dxa"/>
              <w:end w:w="125" w:type="dxa"/>
            </w:tcMar>
            <w:vAlign w:val="center"/>
          </w:tcPr>
          <w:p>
            <w:pPr>
              <w:spacing w:after="0" w:line="252" w:lineRule="auto"/>
            </w:pPr>
            <w:r>
              <w:rPr>
                <w:sz w:val="16"/>
              </w:rPr>
              <w:t>Measure the effect</w:t>
            </w:r>
          </w:p>
        </w:tc>
        <w:tc>
          <w:tcPr>
            <w:tcW w:type="dxa" w:w="3672"/>
            <w:tcMar>
              <w:top w:w="105" w:type="dxa"/>
              <w:start w:w="125" w:type="dxa"/>
              <w:bottom w:w="105" w:type="dxa"/>
              <w:end w:w="125" w:type="dxa"/>
            </w:tcMar>
            <w:vAlign w:val="center"/>
          </w:tcPr>
          <w:p>
            <w:pPr>
              <w:spacing w:after="0" w:line="252" w:lineRule="auto"/>
            </w:pPr>
            <w:r>
              <w:rPr>
                <w:sz w:val="16"/>
              </w:rPr>
              <w:t>Compare time to first read and category agreement against a baseline.</w:t>
            </w:r>
          </w:p>
        </w:tc>
        <w:tc>
          <w:tcPr>
            <w:tcW w:type="dxa" w:w="3672"/>
            <w:tcMar>
              <w:top w:w="105" w:type="dxa"/>
              <w:start w:w="125" w:type="dxa"/>
              <w:bottom w:w="105" w:type="dxa"/>
              <w:end w:w="125" w:type="dxa"/>
            </w:tcMar>
            <w:vAlign w:val="center"/>
          </w:tcPr>
          <w:p>
            <w:pPr>
              <w:spacing w:after="0" w:line="252" w:lineRule="auto"/>
            </w:pPr>
            <w:r>
              <w:rPr>
                <w:sz w:val="16"/>
              </w:rPr>
              <w:t>Determine whether prioritisation improves service performance without unacceptable workload.</w:t>
            </w:r>
          </w:p>
        </w:tc>
      </w:tr>
    </w:tbl>
    <w:p>
      <w:pPr>
        <w:spacing w:after="0"/>
      </w:pPr>
    </w:p>
    <w:p>
      <w:pPr>
        <w:pStyle w:val="Heading1"/>
        <w:keepNext/>
        <w:pageBreakBefore/>
      </w:pPr>
      <w:r>
        <w:t>Complete Request to Clarification Journey</w:t>
      </w:r>
    </w:p>
    <w:p>
      <w:pPr>
        <w:pStyle w:val="BodyText"/>
      </w:pPr>
      <w:r>
        <w:t>The use case begins before AI inference and ends after the treating doctor has consumed the reviewed result. Triage is the centre of the journey because it determines how available studies are ordered for radiologist attention. Every other stage either supplies trusted context to that decision, turns it into a clinical result, or closes the communication loop.</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3331"/>
        <w:gridCol w:w="3331"/>
        <w:gridCol w:w="3331"/>
      </w:tblGrid>
      <w:tr>
        <w:trPr>
          <w:tblHeader w:val="true"/>
        </w:trPr>
        <w:tc>
          <w:tcPr>
            <w:tcW w:type="dxa" w:w="936"/>
            <w:shd w:fill="18324A"/>
            <w:tcMar>
              <w:top w:w="105" w:type="dxa"/>
              <w:start w:w="125" w:type="dxa"/>
              <w:bottom w:w="105" w:type="dxa"/>
              <w:end w:w="125" w:type="dxa"/>
            </w:tcMar>
            <w:vAlign w:val="center"/>
          </w:tcPr>
          <w:p>
            <w:pPr>
              <w:jc w:val="center"/>
            </w:pPr>
            <w:r>
              <w:rPr>
                <w:b/>
                <w:color w:val="FFFFFF"/>
                <w:sz w:val="16"/>
              </w:rPr>
              <w:t>Stage</w:t>
            </w:r>
          </w:p>
        </w:tc>
        <w:tc>
          <w:tcPr>
            <w:tcW w:type="dxa" w:w="4320"/>
            <w:shd w:fill="18324A"/>
            <w:tcMar>
              <w:top w:w="105" w:type="dxa"/>
              <w:start w:w="125" w:type="dxa"/>
              <w:bottom w:w="105" w:type="dxa"/>
              <w:end w:w="125" w:type="dxa"/>
            </w:tcMar>
            <w:vAlign w:val="center"/>
          </w:tcPr>
          <w:p>
            <w:pPr>
              <w:jc w:val="center"/>
            </w:pPr>
            <w:r>
              <w:rPr>
                <w:b/>
                <w:color w:val="FFFFFF"/>
                <w:sz w:val="16"/>
              </w:rPr>
              <w:t>Primary action</w:t>
            </w:r>
          </w:p>
        </w:tc>
        <w:tc>
          <w:tcPr>
            <w:tcW w:type="dxa" w:w="4392"/>
            <w:shd w:fill="18324A"/>
            <w:tcMar>
              <w:top w:w="105" w:type="dxa"/>
              <w:start w:w="125" w:type="dxa"/>
              <w:bottom w:w="105" w:type="dxa"/>
              <w:end w:w="125" w:type="dxa"/>
            </w:tcMar>
            <w:vAlign w:val="center"/>
          </w:tcPr>
          <w:p>
            <w:pPr>
              <w:jc w:val="center"/>
            </w:pPr>
            <w:r>
              <w:rPr>
                <w:b/>
                <w:color w:val="FFFFFF"/>
                <w:sz w:val="16"/>
              </w:rPr>
              <w:t>Relationship to triage</w:t>
            </w:r>
          </w:p>
        </w:tc>
      </w:tr>
      <w:tr>
        <w:tc>
          <w:tcPr>
            <w:tcW w:type="dxa" w:w="936"/>
            <w:tcMar>
              <w:top w:w="105" w:type="dxa"/>
              <w:start w:w="125" w:type="dxa"/>
              <w:bottom w:w="105" w:type="dxa"/>
              <w:end w:w="125" w:type="dxa"/>
            </w:tcMar>
            <w:vAlign w:val="center"/>
          </w:tcPr>
          <w:p>
            <w:pPr>
              <w:spacing w:after="0" w:line="252" w:lineRule="auto"/>
            </w:pPr>
            <w:r>
              <w:rPr>
                <w:sz w:val="16"/>
              </w:rPr>
              <w:t>1  Request</w:t>
            </w:r>
          </w:p>
        </w:tc>
        <w:tc>
          <w:tcPr>
            <w:tcW w:type="dxa" w:w="4320"/>
            <w:tcMar>
              <w:top w:w="105" w:type="dxa"/>
              <w:start w:w="125" w:type="dxa"/>
              <w:bottom w:w="105" w:type="dxa"/>
              <w:end w:w="125" w:type="dxa"/>
            </w:tcMar>
            <w:vAlign w:val="center"/>
          </w:tcPr>
          <w:p>
            <w:pPr>
              <w:spacing w:after="0" w:line="252" w:lineRule="auto"/>
            </w:pPr>
            <w:r>
              <w:rPr>
                <w:sz w:val="16"/>
              </w:rPr>
              <w:t>Doctor orders PA, AP, or paired PA plus AP and records indication and urgency.</w:t>
            </w:r>
          </w:p>
        </w:tc>
        <w:tc>
          <w:tcPr>
            <w:tcW w:type="dxa" w:w="4392"/>
            <w:tcMar>
              <w:top w:w="105" w:type="dxa"/>
              <w:start w:w="125" w:type="dxa"/>
              <w:bottom w:w="105" w:type="dxa"/>
              <w:end w:w="125" w:type="dxa"/>
            </w:tcMar>
            <w:vAlign w:val="center"/>
          </w:tcPr>
          <w:p>
            <w:pPr>
              <w:spacing w:after="0" w:line="252" w:lineRule="auto"/>
            </w:pPr>
            <w:r>
              <w:rPr>
                <w:sz w:val="16"/>
              </w:rPr>
              <w:t>Creates the patient-linked examination and supplies clinical context.</w:t>
            </w:r>
          </w:p>
        </w:tc>
      </w:tr>
      <w:tr>
        <w:tc>
          <w:tcPr>
            <w:tcW w:type="dxa" w:w="936"/>
            <w:tcMar>
              <w:top w:w="105" w:type="dxa"/>
              <w:start w:w="125" w:type="dxa"/>
              <w:bottom w:w="105" w:type="dxa"/>
              <w:end w:w="125" w:type="dxa"/>
            </w:tcMar>
            <w:vAlign w:val="center"/>
            <w:shd w:fill="F5F8FA"/>
          </w:tcPr>
          <w:p>
            <w:pPr>
              <w:spacing w:after="0" w:line="252" w:lineRule="auto"/>
            </w:pPr>
            <w:r>
              <w:rPr>
                <w:sz w:val="16"/>
              </w:rPr>
              <w:t>2  Queue</w:t>
            </w:r>
          </w:p>
        </w:tc>
        <w:tc>
          <w:tcPr>
            <w:tcW w:type="dxa" w:w="4320"/>
            <w:tcMar>
              <w:top w:w="105" w:type="dxa"/>
              <w:start w:w="125" w:type="dxa"/>
              <w:bottom w:w="105" w:type="dxa"/>
              <w:end w:w="125" w:type="dxa"/>
            </w:tcMar>
            <w:vAlign w:val="center"/>
            <w:shd w:fill="F5F8FA"/>
          </w:tcPr>
          <w:p>
            <w:pPr>
              <w:spacing w:after="0" w:line="252" w:lineRule="auto"/>
            </w:pPr>
            <w:r>
              <w:rPr>
                <w:sz w:val="16"/>
              </w:rPr>
              <w:t>Radiology receives the order with accession, patient, view, priority, and status.</w:t>
            </w:r>
          </w:p>
        </w:tc>
        <w:tc>
          <w:tcPr>
            <w:tcW w:type="dxa" w:w="4392"/>
            <w:tcMar>
              <w:top w:w="105" w:type="dxa"/>
              <w:start w:w="125" w:type="dxa"/>
              <w:bottom w:w="105" w:type="dxa"/>
              <w:end w:w="125" w:type="dxa"/>
            </w:tcMar>
            <w:vAlign w:val="center"/>
            <w:shd w:fill="F5F8FA"/>
          </w:tcPr>
          <w:p>
            <w:pPr>
              <w:spacing w:after="0" w:line="252" w:lineRule="auto"/>
            </w:pPr>
            <w:r>
              <w:rPr>
                <w:sz w:val="16"/>
              </w:rPr>
              <w:t>Defines which requested examination is awaiting acquisition.</w:t>
            </w:r>
          </w:p>
        </w:tc>
      </w:tr>
      <w:tr>
        <w:tc>
          <w:tcPr>
            <w:tcW w:type="dxa" w:w="936"/>
            <w:tcMar>
              <w:top w:w="105" w:type="dxa"/>
              <w:start w:w="125" w:type="dxa"/>
              <w:bottom w:w="105" w:type="dxa"/>
              <w:end w:w="125" w:type="dxa"/>
            </w:tcMar>
            <w:vAlign w:val="center"/>
          </w:tcPr>
          <w:p>
            <w:pPr>
              <w:spacing w:after="0" w:line="252" w:lineRule="auto"/>
            </w:pPr>
            <w:r>
              <w:rPr>
                <w:sz w:val="16"/>
              </w:rPr>
              <w:t>3  Verify and upload</w:t>
            </w:r>
          </w:p>
        </w:tc>
        <w:tc>
          <w:tcPr>
            <w:tcW w:type="dxa" w:w="4320"/>
            <w:tcMar>
              <w:top w:w="105" w:type="dxa"/>
              <w:start w:w="125" w:type="dxa"/>
              <w:bottom w:w="105" w:type="dxa"/>
              <w:end w:w="125" w:type="dxa"/>
            </w:tcMar>
            <w:vAlign w:val="center"/>
          </w:tcPr>
          <w:p>
            <w:pPr>
              <w:spacing w:after="0" w:line="252" w:lineRule="auto"/>
            </w:pPr>
            <w:r>
              <w:rPr>
                <w:sz w:val="16"/>
              </w:rPr>
              <w:t>Radiologist confirms patient, accession, modality, view, and DICOM identifiers.</w:t>
            </w:r>
          </w:p>
        </w:tc>
        <w:tc>
          <w:tcPr>
            <w:tcW w:type="dxa" w:w="4392"/>
            <w:tcMar>
              <w:top w:w="105" w:type="dxa"/>
              <w:start w:w="125" w:type="dxa"/>
              <w:bottom w:w="105" w:type="dxa"/>
              <w:end w:w="125" w:type="dxa"/>
            </w:tcMar>
            <w:vAlign w:val="center"/>
          </w:tcPr>
          <w:p>
            <w:pPr>
              <w:spacing w:after="0" w:line="252" w:lineRule="auto"/>
            </w:pPr>
            <w:r>
              <w:rPr>
                <w:sz w:val="16"/>
              </w:rPr>
              <w:t>Prevents a priority from being assigned to the wrong patient or examination.</w:t>
            </w:r>
          </w:p>
        </w:tc>
      </w:tr>
      <w:tr>
        <w:tc>
          <w:tcPr>
            <w:tcW w:type="dxa" w:w="936"/>
            <w:tcMar>
              <w:top w:w="105" w:type="dxa"/>
              <w:start w:w="125" w:type="dxa"/>
              <w:bottom w:w="105" w:type="dxa"/>
              <w:end w:w="125" w:type="dxa"/>
            </w:tcMar>
            <w:vAlign w:val="center"/>
            <w:shd w:fill="F5F8FA"/>
          </w:tcPr>
          <w:p>
            <w:pPr>
              <w:spacing w:after="0" w:line="252" w:lineRule="auto"/>
            </w:pPr>
            <w:r>
              <w:rPr>
                <w:sz w:val="16"/>
              </w:rPr>
              <w:t>4  Store and analyse</w:t>
            </w:r>
          </w:p>
        </w:tc>
        <w:tc>
          <w:tcPr>
            <w:tcW w:type="dxa" w:w="4320"/>
            <w:tcMar>
              <w:top w:w="105" w:type="dxa"/>
              <w:start w:w="125" w:type="dxa"/>
              <w:bottom w:w="105" w:type="dxa"/>
              <w:end w:w="125" w:type="dxa"/>
            </w:tcMar>
            <w:vAlign w:val="center"/>
            <w:shd w:fill="F5F8FA"/>
          </w:tcPr>
          <w:p>
            <w:pPr>
              <w:spacing w:after="0" w:line="252" w:lineRule="auto"/>
            </w:pPr>
            <w:r>
              <w:rPr>
                <w:sz w:val="16"/>
              </w:rPr>
              <w:t>Orthanc stores the study and the eligible image passes through both AI models.</w:t>
            </w:r>
          </w:p>
        </w:tc>
        <w:tc>
          <w:tcPr>
            <w:tcW w:type="dxa" w:w="4392"/>
            <w:tcMar>
              <w:top w:w="105" w:type="dxa"/>
              <w:start w:w="125" w:type="dxa"/>
              <w:bottom w:w="105" w:type="dxa"/>
              <w:end w:w="125" w:type="dxa"/>
            </w:tcMar>
            <w:vAlign w:val="center"/>
            <w:shd w:fill="F5F8FA"/>
          </w:tcPr>
          <w:p>
            <w:pPr>
              <w:spacing w:after="0" w:line="252" w:lineRule="auto"/>
            </w:pPr>
            <w:r>
              <w:rPr>
                <w:sz w:val="16"/>
              </w:rPr>
              <w:t>Produces the two screening signals used for prioritisation.</w:t>
            </w:r>
          </w:p>
        </w:tc>
      </w:tr>
      <w:tr>
        <w:tc>
          <w:tcPr>
            <w:tcW w:type="dxa" w:w="936"/>
            <w:tcMar>
              <w:top w:w="105" w:type="dxa"/>
              <w:start w:w="125" w:type="dxa"/>
              <w:bottom w:w="105" w:type="dxa"/>
              <w:end w:w="125" w:type="dxa"/>
            </w:tcMar>
            <w:vAlign w:val="center"/>
          </w:tcPr>
          <w:p>
            <w:pPr>
              <w:spacing w:after="0" w:line="252" w:lineRule="auto"/>
            </w:pPr>
            <w:r>
              <w:rPr>
                <w:sz w:val="16"/>
              </w:rPr>
              <w:t>5  Prioritise</w:t>
            </w:r>
          </w:p>
        </w:tc>
        <w:tc>
          <w:tcPr>
            <w:tcW w:type="dxa" w:w="4320"/>
            <w:tcMar>
              <w:top w:w="105" w:type="dxa"/>
              <w:start w:w="125" w:type="dxa"/>
              <w:bottom w:w="105" w:type="dxa"/>
              <w:end w:w="125" w:type="dxa"/>
            </w:tcMar>
            <w:vAlign w:val="center"/>
          </w:tcPr>
          <w:p>
            <w:pPr>
              <w:spacing w:after="0" w:line="252" w:lineRule="auto"/>
            </w:pPr>
            <w:r>
              <w:rPr>
                <w:sz w:val="16"/>
              </w:rPr>
              <w:t>The decision service assigns High Priority, Review Flag, or Routine and sorts the worklist.</w:t>
            </w:r>
          </w:p>
        </w:tc>
        <w:tc>
          <w:tcPr>
            <w:tcW w:type="dxa" w:w="4392"/>
            <w:tcMar>
              <w:top w:w="105" w:type="dxa"/>
              <w:start w:w="125" w:type="dxa"/>
              <w:bottom w:w="105" w:type="dxa"/>
              <w:end w:w="125" w:type="dxa"/>
            </w:tcMar>
            <w:vAlign w:val="center"/>
          </w:tcPr>
          <w:p>
            <w:pPr>
              <w:spacing w:after="0" w:line="252" w:lineRule="auto"/>
            </w:pPr>
            <w:r>
              <w:rPr>
                <w:sz w:val="16"/>
              </w:rPr>
              <w:t>This is the primary use case and operational decision point.</w:t>
            </w:r>
          </w:p>
        </w:tc>
      </w:tr>
      <w:tr>
        <w:tc>
          <w:tcPr>
            <w:tcW w:type="dxa" w:w="936"/>
            <w:tcMar>
              <w:top w:w="105" w:type="dxa"/>
              <w:start w:w="125" w:type="dxa"/>
              <w:bottom w:w="105" w:type="dxa"/>
              <w:end w:w="125" w:type="dxa"/>
            </w:tcMar>
            <w:vAlign w:val="center"/>
            <w:shd w:fill="F5F8FA"/>
          </w:tcPr>
          <w:p>
            <w:pPr>
              <w:spacing w:after="0" w:line="252" w:lineRule="auto"/>
            </w:pPr>
            <w:r>
              <w:rPr>
                <w:sz w:val="16"/>
              </w:rPr>
              <w:t>6  Review and report</w:t>
            </w:r>
          </w:p>
        </w:tc>
        <w:tc>
          <w:tcPr>
            <w:tcW w:type="dxa" w:w="4320"/>
            <w:tcMar>
              <w:top w:w="105" w:type="dxa"/>
              <w:start w:w="125" w:type="dxa"/>
              <w:bottom w:w="105" w:type="dxa"/>
              <w:end w:w="125" w:type="dxa"/>
            </w:tcMar>
            <w:vAlign w:val="center"/>
            <w:shd w:fill="F5F8FA"/>
          </w:tcPr>
          <w:p>
            <w:pPr>
              <w:spacing w:after="0" w:line="252" w:lineRule="auto"/>
            </w:pPr>
            <w:r>
              <w:rPr>
                <w:sz w:val="16"/>
              </w:rPr>
              <w:t>Radiologist reviews full images, AI context, and clinical information and records the interpretation.</w:t>
            </w:r>
          </w:p>
        </w:tc>
        <w:tc>
          <w:tcPr>
            <w:tcW w:type="dxa" w:w="4392"/>
            <w:tcMar>
              <w:top w:w="105" w:type="dxa"/>
              <w:start w:w="125" w:type="dxa"/>
              <w:bottom w:w="105" w:type="dxa"/>
              <w:end w:w="125" w:type="dxa"/>
            </w:tcMar>
            <w:vAlign w:val="center"/>
            <w:shd w:fill="F5F8FA"/>
          </w:tcPr>
          <w:p>
            <w:pPr>
              <w:spacing w:after="0" w:line="252" w:lineRule="auto"/>
            </w:pPr>
            <w:r>
              <w:rPr>
                <w:sz w:val="16"/>
              </w:rPr>
              <w:t>Converts a triage signal into a clinician-owned result.</w:t>
            </w:r>
          </w:p>
        </w:tc>
      </w:tr>
      <w:tr>
        <w:tc>
          <w:tcPr>
            <w:tcW w:type="dxa" w:w="936"/>
            <w:tcMar>
              <w:top w:w="105" w:type="dxa"/>
              <w:start w:w="125" w:type="dxa"/>
              <w:bottom w:w="105" w:type="dxa"/>
              <w:end w:w="125" w:type="dxa"/>
            </w:tcMar>
            <w:vAlign w:val="center"/>
          </w:tcPr>
          <w:p>
            <w:pPr>
              <w:spacing w:after="0" w:line="252" w:lineRule="auto"/>
            </w:pPr>
            <w:r>
              <w:rPr>
                <w:sz w:val="16"/>
              </w:rPr>
              <w:t>7  Result access</w:t>
            </w:r>
          </w:p>
        </w:tc>
        <w:tc>
          <w:tcPr>
            <w:tcW w:type="dxa" w:w="4320"/>
            <w:tcMar>
              <w:top w:w="105" w:type="dxa"/>
              <w:start w:w="125" w:type="dxa"/>
              <w:bottom w:w="105" w:type="dxa"/>
              <w:end w:w="125" w:type="dxa"/>
            </w:tcMar>
            <w:vAlign w:val="center"/>
          </w:tcPr>
          <w:p>
            <w:pPr>
              <w:spacing w:after="0" w:line="252" w:lineRule="auto"/>
            </w:pPr>
            <w:r>
              <w:rPr>
                <w:sz w:val="16"/>
              </w:rPr>
              <w:t>Treating doctor sees the reviewed result in the patient context.</w:t>
            </w:r>
          </w:p>
        </w:tc>
        <w:tc>
          <w:tcPr>
            <w:tcW w:type="dxa" w:w="4392"/>
            <w:tcMar>
              <w:top w:w="105" w:type="dxa"/>
              <w:start w:w="125" w:type="dxa"/>
              <w:bottom w:w="105" w:type="dxa"/>
              <w:end w:w="125" w:type="dxa"/>
            </w:tcMar>
            <w:vAlign w:val="center"/>
          </w:tcPr>
          <w:p>
            <w:pPr>
              <w:spacing w:after="0" w:line="252" w:lineRule="auto"/>
            </w:pPr>
            <w:r>
              <w:rPr>
                <w:sz w:val="16"/>
              </w:rPr>
              <w:t>Ensures the prioritised study leads to an actionable reviewed result.</w:t>
            </w:r>
          </w:p>
        </w:tc>
      </w:tr>
      <w:tr>
        <w:tc>
          <w:tcPr>
            <w:tcW w:type="dxa" w:w="936"/>
            <w:tcMar>
              <w:top w:w="105" w:type="dxa"/>
              <w:start w:w="125" w:type="dxa"/>
              <w:bottom w:w="105" w:type="dxa"/>
              <w:end w:w="125" w:type="dxa"/>
            </w:tcMar>
            <w:vAlign w:val="center"/>
            <w:shd w:fill="F5F8FA"/>
          </w:tcPr>
          <w:p>
            <w:pPr>
              <w:spacing w:after="0" w:line="252" w:lineRule="auto"/>
            </w:pPr>
            <w:r>
              <w:rPr>
                <w:sz w:val="16"/>
              </w:rPr>
              <w:t>8  Compare and clarify</w:t>
            </w:r>
          </w:p>
        </w:tc>
        <w:tc>
          <w:tcPr>
            <w:tcW w:type="dxa" w:w="4320"/>
            <w:tcMar>
              <w:top w:w="105" w:type="dxa"/>
              <w:start w:w="125" w:type="dxa"/>
              <w:bottom w:w="105" w:type="dxa"/>
              <w:end w:w="125" w:type="dxa"/>
            </w:tcMar>
            <w:vAlign w:val="center"/>
            <w:shd w:fill="F5F8FA"/>
          </w:tcPr>
          <w:p>
            <w:pPr>
              <w:spacing w:after="0" w:line="252" w:lineRule="auto"/>
            </w:pPr>
            <w:r>
              <w:rPr>
                <w:sz w:val="16"/>
              </w:rPr>
              <w:t>The care team compares linked studies and manages report questions.</w:t>
            </w:r>
          </w:p>
        </w:tc>
        <w:tc>
          <w:tcPr>
            <w:tcW w:type="dxa" w:w="4392"/>
            <w:tcMar>
              <w:top w:w="105" w:type="dxa"/>
              <w:start w:w="125" w:type="dxa"/>
              <w:bottom w:w="105" w:type="dxa"/>
              <w:end w:w="125" w:type="dxa"/>
            </w:tcMar>
            <w:vAlign w:val="center"/>
            <w:shd w:fill="F5F8FA"/>
          </w:tcPr>
          <w:p>
            <w:pPr>
              <w:spacing w:after="0" w:line="252" w:lineRule="auto"/>
            </w:pPr>
            <w:r>
              <w:rPr>
                <w:sz w:val="16"/>
              </w:rPr>
              <w:t>Completes continuity and closes unresolved communication.</w:t>
            </w:r>
          </w:p>
        </w:tc>
      </w:tr>
    </w:tbl>
    <w:p>
      <w:pPr>
        <w:spacing w:after="0"/>
      </w:pPr>
    </w:p>
    <w:p>
      <w:pPr>
        <w:pStyle w:val="BodyText"/>
      </w:pPr>
      <w:r>
        <w:rPr>
          <w:b/>
        </w:rPr>
        <w:t>The AI category never replaces</w:t>
      </w:r>
      <w:r>
        <w:t xml:space="preserve"> the doctor’s requested urgency, radiologist judgement, or hospital escalation policy. It is an additional study-level attention signal inside the radiology worklist.</w:t>
      </w:r>
    </w:p>
    <w:p>
      <w:pPr>
        <w:pStyle w:val="Heading1"/>
        <w:keepNext/>
        <w:pageBreakBefore/>
      </w:pPr>
      <w:r>
        <w:t>Stage 1 Clinical Request</w:t>
      </w:r>
    </w:p>
    <w:p>
      <w:pPr>
        <w:pStyle w:val="BodyText"/>
      </w:pPr>
      <w:r>
        <w:t>The treating doctor starts the examination from the patient record. The request captures the selected patient, examination type, required view, clinical indication, routine or urgent priority, and whether the study represents a new clinical problem or a follow-up.</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3331"/>
        <w:gridCol w:w="3331"/>
        <w:gridCol w:w="3331"/>
      </w:tblGrid>
      <w:tr>
        <w:trPr>
          <w:tblHeader w:val="true"/>
        </w:trPr>
        <w:tc>
          <w:tcPr>
            <w:tcW w:type="dxa" w:w="2088"/>
            <w:shd w:fill="18324A"/>
            <w:tcMar>
              <w:top w:w="105" w:type="dxa"/>
              <w:start w:w="125" w:type="dxa"/>
              <w:bottom w:w="105" w:type="dxa"/>
              <w:end w:w="125" w:type="dxa"/>
            </w:tcMar>
            <w:vAlign w:val="center"/>
          </w:tcPr>
          <w:p>
            <w:pPr>
              <w:jc w:val="center"/>
            </w:pPr>
            <w:r>
              <w:rPr>
                <w:b/>
                <w:color w:val="FFFFFF"/>
                <w:sz w:val="16"/>
              </w:rPr>
              <w:t>Request element</w:t>
            </w:r>
          </w:p>
        </w:tc>
        <w:tc>
          <w:tcPr>
            <w:tcW w:type="dxa" w:w="3960"/>
            <w:shd w:fill="18324A"/>
            <w:tcMar>
              <w:top w:w="105" w:type="dxa"/>
              <w:start w:w="125" w:type="dxa"/>
              <w:bottom w:w="105" w:type="dxa"/>
              <w:end w:w="125" w:type="dxa"/>
            </w:tcMar>
            <w:vAlign w:val="center"/>
          </w:tcPr>
          <w:p>
            <w:pPr>
              <w:jc w:val="center"/>
            </w:pPr>
            <w:r>
              <w:rPr>
                <w:b/>
                <w:color w:val="FFFFFF"/>
                <w:sz w:val="16"/>
              </w:rPr>
              <w:t>Business rule</w:t>
            </w:r>
          </w:p>
        </w:tc>
        <w:tc>
          <w:tcPr>
            <w:tcW w:type="dxa" w:w="3600"/>
            <w:shd w:fill="18324A"/>
            <w:tcMar>
              <w:top w:w="105" w:type="dxa"/>
              <w:start w:w="125" w:type="dxa"/>
              <w:bottom w:w="105" w:type="dxa"/>
              <w:end w:w="125" w:type="dxa"/>
            </w:tcMar>
            <w:vAlign w:val="center"/>
          </w:tcPr>
          <w:p>
            <w:pPr>
              <w:jc w:val="center"/>
            </w:pPr>
            <w:r>
              <w:rPr>
                <w:b/>
                <w:color w:val="FFFFFF"/>
                <w:sz w:val="16"/>
              </w:rPr>
              <w:t>Why it matters</w:t>
            </w:r>
          </w:p>
        </w:tc>
      </w:tr>
      <w:tr>
        <w:tc>
          <w:tcPr>
            <w:tcW w:type="dxa" w:w="2088"/>
            <w:tcMar>
              <w:top w:w="105" w:type="dxa"/>
              <w:start w:w="125" w:type="dxa"/>
              <w:bottom w:w="105" w:type="dxa"/>
              <w:end w:w="125" w:type="dxa"/>
            </w:tcMar>
            <w:vAlign w:val="center"/>
          </w:tcPr>
          <w:p>
            <w:pPr>
              <w:spacing w:after="0" w:line="252" w:lineRule="auto"/>
            </w:pPr>
            <w:r>
              <w:rPr>
                <w:sz w:val="16"/>
              </w:rPr>
              <w:t>Patient</w:t>
            </w:r>
          </w:p>
        </w:tc>
        <w:tc>
          <w:tcPr>
            <w:tcW w:type="dxa" w:w="3960"/>
            <w:tcMar>
              <w:top w:w="105" w:type="dxa"/>
              <w:start w:w="125" w:type="dxa"/>
              <w:bottom w:w="105" w:type="dxa"/>
              <w:end w:w="125" w:type="dxa"/>
            </w:tcMar>
            <w:vAlign w:val="center"/>
          </w:tcPr>
          <w:p>
            <w:pPr>
              <w:spacing w:after="0" w:line="252" w:lineRule="auto"/>
            </w:pPr>
            <w:r>
              <w:rPr>
                <w:sz w:val="16"/>
              </w:rPr>
              <w:t>The request is created against a named patient.</w:t>
            </w:r>
          </w:p>
        </w:tc>
        <w:tc>
          <w:tcPr>
            <w:tcW w:type="dxa" w:w="3600"/>
            <w:tcMar>
              <w:top w:w="105" w:type="dxa"/>
              <w:start w:w="125" w:type="dxa"/>
              <w:bottom w:w="105" w:type="dxa"/>
              <w:end w:w="125" w:type="dxa"/>
            </w:tcMar>
            <w:vAlign w:val="center"/>
          </w:tcPr>
          <w:p>
            <w:pPr>
              <w:spacing w:after="0" w:line="252" w:lineRule="auto"/>
            </w:pPr>
            <w:r>
              <w:rPr>
                <w:sz w:val="16"/>
              </w:rPr>
              <w:t>Anchors every downstream image and result to one clinical record.</w:t>
            </w:r>
          </w:p>
        </w:tc>
      </w:tr>
      <w:tr>
        <w:tc>
          <w:tcPr>
            <w:tcW w:type="dxa" w:w="2088"/>
            <w:tcMar>
              <w:top w:w="105" w:type="dxa"/>
              <w:start w:w="125" w:type="dxa"/>
              <w:bottom w:w="105" w:type="dxa"/>
              <w:end w:w="125" w:type="dxa"/>
            </w:tcMar>
            <w:vAlign w:val="center"/>
            <w:shd w:fill="F5F8FA"/>
          </w:tcPr>
          <w:p>
            <w:pPr>
              <w:spacing w:after="0" w:line="252" w:lineRule="auto"/>
            </w:pPr>
            <w:r>
              <w:rPr>
                <w:sz w:val="16"/>
              </w:rPr>
              <w:t>Examination</w:t>
            </w:r>
          </w:p>
        </w:tc>
        <w:tc>
          <w:tcPr>
            <w:tcW w:type="dxa" w:w="3960"/>
            <w:tcMar>
              <w:top w:w="105" w:type="dxa"/>
              <w:start w:w="125" w:type="dxa"/>
              <w:bottom w:w="105" w:type="dxa"/>
              <w:end w:w="125" w:type="dxa"/>
            </w:tcMar>
            <w:vAlign w:val="center"/>
            <w:shd w:fill="F5F8FA"/>
          </w:tcPr>
          <w:p>
            <w:pPr>
              <w:spacing w:after="0" w:line="252" w:lineRule="auto"/>
            </w:pPr>
            <w:r>
              <w:rPr>
                <w:sz w:val="16"/>
              </w:rPr>
              <w:t>Chest X-ray PA, AP, or one paired PA plus AP order.</w:t>
            </w:r>
          </w:p>
        </w:tc>
        <w:tc>
          <w:tcPr>
            <w:tcW w:type="dxa" w:w="3600"/>
            <w:tcMar>
              <w:top w:w="105" w:type="dxa"/>
              <w:start w:w="125" w:type="dxa"/>
              <w:bottom w:w="105" w:type="dxa"/>
              <w:end w:w="125" w:type="dxa"/>
            </w:tcMar>
            <w:vAlign w:val="center"/>
            <w:shd w:fill="F5F8FA"/>
          </w:tcPr>
          <w:p>
            <w:pPr>
              <w:spacing w:after="0" w:line="252" w:lineRule="auto"/>
            </w:pPr>
            <w:r>
              <w:rPr>
                <w:sz w:val="16"/>
              </w:rPr>
              <w:t>Defines the required acquisition and review scope.</w:t>
            </w:r>
          </w:p>
        </w:tc>
      </w:tr>
      <w:tr>
        <w:tc>
          <w:tcPr>
            <w:tcW w:type="dxa" w:w="2088"/>
            <w:tcMar>
              <w:top w:w="105" w:type="dxa"/>
              <w:start w:w="125" w:type="dxa"/>
              <w:bottom w:w="105" w:type="dxa"/>
              <w:end w:w="125" w:type="dxa"/>
            </w:tcMar>
            <w:vAlign w:val="center"/>
          </w:tcPr>
          <w:p>
            <w:pPr>
              <w:spacing w:after="0" w:line="252" w:lineRule="auto"/>
            </w:pPr>
            <w:r>
              <w:rPr>
                <w:sz w:val="16"/>
              </w:rPr>
              <w:t>Clinical indication</w:t>
            </w:r>
          </w:p>
        </w:tc>
        <w:tc>
          <w:tcPr>
            <w:tcW w:type="dxa" w:w="3960"/>
            <w:tcMar>
              <w:top w:w="105" w:type="dxa"/>
              <w:start w:w="125" w:type="dxa"/>
              <w:bottom w:w="105" w:type="dxa"/>
              <w:end w:w="125" w:type="dxa"/>
            </w:tcMar>
            <w:vAlign w:val="center"/>
          </w:tcPr>
          <w:p>
            <w:pPr>
              <w:spacing w:after="0" w:line="252" w:lineRule="auto"/>
            </w:pPr>
            <w:r>
              <w:rPr>
                <w:sz w:val="16"/>
              </w:rPr>
              <w:t>The doctor records the reason for imaging.</w:t>
            </w:r>
          </w:p>
        </w:tc>
        <w:tc>
          <w:tcPr>
            <w:tcW w:type="dxa" w:w="3600"/>
            <w:tcMar>
              <w:top w:w="105" w:type="dxa"/>
              <w:start w:w="125" w:type="dxa"/>
              <w:bottom w:w="105" w:type="dxa"/>
              <w:end w:w="125" w:type="dxa"/>
            </w:tcMar>
            <w:vAlign w:val="center"/>
          </w:tcPr>
          <w:p>
            <w:pPr>
              <w:spacing w:after="0" w:line="252" w:lineRule="auto"/>
            </w:pPr>
            <w:r>
              <w:rPr>
                <w:sz w:val="16"/>
              </w:rPr>
              <w:t>Gives the radiologist context when interpreting the prioritised study.</w:t>
            </w:r>
          </w:p>
        </w:tc>
      </w:tr>
      <w:tr>
        <w:tc>
          <w:tcPr>
            <w:tcW w:type="dxa" w:w="2088"/>
            <w:tcMar>
              <w:top w:w="105" w:type="dxa"/>
              <w:start w:w="125" w:type="dxa"/>
              <w:bottom w:w="105" w:type="dxa"/>
              <w:end w:w="125" w:type="dxa"/>
            </w:tcMar>
            <w:vAlign w:val="center"/>
            <w:shd w:fill="F5F8FA"/>
          </w:tcPr>
          <w:p>
            <w:pPr>
              <w:spacing w:after="0" w:line="252" w:lineRule="auto"/>
            </w:pPr>
            <w:r>
              <w:rPr>
                <w:sz w:val="16"/>
              </w:rPr>
              <w:t>Requested urgency</w:t>
            </w:r>
          </w:p>
        </w:tc>
        <w:tc>
          <w:tcPr>
            <w:tcW w:type="dxa" w:w="3960"/>
            <w:tcMar>
              <w:top w:w="105" w:type="dxa"/>
              <w:start w:w="125" w:type="dxa"/>
              <w:bottom w:w="105" w:type="dxa"/>
              <w:end w:w="125" w:type="dxa"/>
            </w:tcMar>
            <w:vAlign w:val="center"/>
            <w:shd w:fill="F5F8FA"/>
          </w:tcPr>
          <w:p>
            <w:pPr>
              <w:spacing w:after="0" w:line="252" w:lineRule="auto"/>
            </w:pPr>
            <w:r>
              <w:rPr>
                <w:sz w:val="16"/>
              </w:rPr>
              <w:t>Routine or urgent is retained from the ordering clinician.</w:t>
            </w:r>
          </w:p>
        </w:tc>
        <w:tc>
          <w:tcPr>
            <w:tcW w:type="dxa" w:w="3600"/>
            <w:tcMar>
              <w:top w:w="105" w:type="dxa"/>
              <w:start w:w="125" w:type="dxa"/>
              <w:bottom w:w="105" w:type="dxa"/>
              <w:end w:w="125" w:type="dxa"/>
            </w:tcMar>
            <w:vAlign w:val="center"/>
            <w:shd w:fill="F5F8FA"/>
          </w:tcPr>
          <w:p>
            <w:pPr>
              <w:spacing w:after="0" w:line="252" w:lineRule="auto"/>
            </w:pPr>
            <w:r>
              <w:rPr>
                <w:sz w:val="16"/>
              </w:rPr>
              <w:t>Remains distinct from the AI category and local operational policy.</w:t>
            </w:r>
          </w:p>
        </w:tc>
      </w:tr>
      <w:tr>
        <w:tc>
          <w:tcPr>
            <w:tcW w:type="dxa" w:w="2088"/>
            <w:tcMar>
              <w:top w:w="105" w:type="dxa"/>
              <w:start w:w="125" w:type="dxa"/>
              <w:bottom w:w="105" w:type="dxa"/>
              <w:end w:w="125" w:type="dxa"/>
            </w:tcMar>
            <w:vAlign w:val="center"/>
          </w:tcPr>
          <w:p>
            <w:pPr>
              <w:spacing w:after="0" w:line="252" w:lineRule="auto"/>
            </w:pPr>
            <w:r>
              <w:rPr>
                <w:sz w:val="16"/>
              </w:rPr>
              <w:t>Follow-up context</w:t>
            </w:r>
          </w:p>
        </w:tc>
        <w:tc>
          <w:tcPr>
            <w:tcW w:type="dxa" w:w="3960"/>
            <w:tcMar>
              <w:top w:w="105" w:type="dxa"/>
              <w:start w:w="125" w:type="dxa"/>
              <w:bottom w:w="105" w:type="dxa"/>
              <w:end w:w="125" w:type="dxa"/>
            </w:tcMar>
            <w:vAlign w:val="center"/>
          </w:tcPr>
          <w:p>
            <w:pPr>
              <w:spacing w:after="0" w:line="252" w:lineRule="auto"/>
            </w:pPr>
            <w:r>
              <w:rPr>
                <w:sz w:val="16"/>
              </w:rPr>
              <w:t>A prior same-patient study may be linked.</w:t>
            </w:r>
          </w:p>
        </w:tc>
        <w:tc>
          <w:tcPr>
            <w:tcW w:type="dxa" w:w="3600"/>
            <w:tcMar>
              <w:top w:w="105" w:type="dxa"/>
              <w:start w:w="125" w:type="dxa"/>
              <w:bottom w:w="105" w:type="dxa"/>
              <w:end w:w="125" w:type="dxa"/>
            </w:tcMar>
            <w:vAlign w:val="center"/>
          </w:tcPr>
          <w:p>
            <w:pPr>
              <w:spacing w:after="0" w:line="252" w:lineRule="auto"/>
            </w:pPr>
            <w:r>
              <w:rPr>
                <w:sz w:val="16"/>
              </w:rPr>
              <w:t>Supports later longitudinal comparison without automated disease judgement.</w:t>
            </w:r>
          </w:p>
        </w:tc>
      </w:tr>
      <w:tr>
        <w:tc>
          <w:tcPr>
            <w:tcW w:type="dxa" w:w="2088"/>
            <w:tcMar>
              <w:top w:w="105" w:type="dxa"/>
              <w:start w:w="125" w:type="dxa"/>
              <w:bottom w:w="105" w:type="dxa"/>
              <w:end w:w="125" w:type="dxa"/>
            </w:tcMar>
            <w:vAlign w:val="center"/>
            <w:shd w:fill="F5F8FA"/>
          </w:tcPr>
          <w:p>
            <w:pPr>
              <w:spacing w:after="0" w:line="252" w:lineRule="auto"/>
            </w:pPr>
            <w:r>
              <w:rPr>
                <w:sz w:val="16"/>
              </w:rPr>
              <w:t>Client request identity</w:t>
            </w:r>
          </w:p>
        </w:tc>
        <w:tc>
          <w:tcPr>
            <w:tcW w:type="dxa" w:w="3960"/>
            <w:tcMar>
              <w:top w:w="105" w:type="dxa"/>
              <w:start w:w="125" w:type="dxa"/>
              <w:bottom w:w="105" w:type="dxa"/>
              <w:end w:w="125" w:type="dxa"/>
            </w:tcMar>
            <w:vAlign w:val="center"/>
            <w:shd w:fill="F5F8FA"/>
          </w:tcPr>
          <w:p>
            <w:pPr>
              <w:spacing w:after="0" w:line="252" w:lineRule="auto"/>
            </w:pPr>
            <w:r>
              <w:rPr>
                <w:sz w:val="16"/>
              </w:rPr>
              <w:t>Identical retries return the existing request; conflicting reuse is rejected.</w:t>
            </w:r>
          </w:p>
        </w:tc>
        <w:tc>
          <w:tcPr>
            <w:tcW w:type="dxa" w:w="3600"/>
            <w:tcMar>
              <w:top w:w="105" w:type="dxa"/>
              <w:start w:w="125" w:type="dxa"/>
              <w:bottom w:w="105" w:type="dxa"/>
              <w:end w:w="125" w:type="dxa"/>
            </w:tcMar>
            <w:vAlign w:val="center"/>
            <w:shd w:fill="F5F8FA"/>
          </w:tcPr>
          <w:p>
            <w:pPr>
              <w:spacing w:after="0" w:line="252" w:lineRule="auto"/>
            </w:pPr>
            <w:r>
              <w:rPr>
                <w:sz w:val="16"/>
              </w:rPr>
              <w:t>Reduces duplicate requests during transient failures.</w:t>
            </w:r>
          </w:p>
        </w:tc>
      </w:tr>
    </w:tbl>
    <w:p>
      <w:pPr>
        <w:spacing w:after="0"/>
      </w:pPr>
    </w:p>
    <w:p>
      <w:pPr>
        <w:pStyle w:val="BodyText"/>
      </w:pPr>
      <w:r>
        <w:t>A paired PA plus AP request creates one examination and accession with two required study slots. The examination is not considered ready merely because one view has arrived.</w:t>
      </w:r>
    </w:p>
    <w:p>
      <w:pPr>
        <w:keepNext/>
        <w:jc w:val="center"/>
      </w:pPr>
      <w:r>
        <w:drawing>
          <wp:inline xmlns:a="http://schemas.openxmlformats.org/drawingml/2006/main" xmlns:pic="http://schemas.openxmlformats.org/drawingml/2006/picture">
            <wp:extent cx="4709160" cy="4814932"/>
            <wp:docPr id="6" name="Picture 6" descr="Figure 3  Patient 360 chest X-ray request and examination status" title="Figure 3  Patient 360 chest X-ray request and examination status"/>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4709160" cy="4814932"/>
                    </a:xfrm>
                    <a:prstGeom prst="rect"/>
                  </pic:spPr>
                </pic:pic>
              </a:graphicData>
            </a:graphic>
          </wp:inline>
        </w:drawing>
      </w:r>
    </w:p>
    <w:p>
      <w:pPr>
        <w:pStyle w:val="Caption"/>
        <w:jc w:val="center"/>
      </w:pPr>
      <w:r>
        <w:t>Figure 3  Patient 360 chest X-ray request and examination status</w:t>
      </w:r>
    </w:p>
    <w:p>
      <w:pPr>
        <w:pStyle w:val="Heading1"/>
        <w:keepNext/>
        <w:pageBreakBefore/>
      </w:pPr>
      <w:r>
        <w:t>Stages 2 and 3 Radiology Queue Verification and Upload</w:t>
      </w:r>
    </w:p>
    <w:p>
      <w:pPr>
        <w:pStyle w:val="BodyText"/>
      </w:pPr>
      <w:r>
        <w:t>The radiology queue presents the requested examination before any AI category exists. The radiologist selects the order and verifies the acquired DICOM against the intended patient and requested view. This safety boundary is essential because triage has value only when the analysed image is correctly linked.</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3331"/>
        <w:gridCol w:w="3331"/>
        <w:gridCol w:w="3331"/>
      </w:tblGrid>
      <w:tr>
        <w:trPr>
          <w:tblHeader w:val="true"/>
        </w:trPr>
        <w:tc>
          <w:tcPr>
            <w:tcW w:type="dxa" w:w="1872"/>
            <w:shd w:fill="18324A"/>
            <w:tcMar>
              <w:top w:w="105" w:type="dxa"/>
              <w:start w:w="125" w:type="dxa"/>
              <w:bottom w:w="105" w:type="dxa"/>
              <w:end w:w="125" w:type="dxa"/>
            </w:tcMar>
            <w:vAlign w:val="center"/>
          </w:tcPr>
          <w:p>
            <w:pPr>
              <w:jc w:val="center"/>
            </w:pPr>
            <w:r>
              <w:rPr>
                <w:b/>
                <w:color w:val="FFFFFF"/>
                <w:sz w:val="16"/>
              </w:rPr>
              <w:t>Verification</w:t>
            </w:r>
          </w:p>
        </w:tc>
        <w:tc>
          <w:tcPr>
            <w:tcW w:type="dxa" w:w="4320"/>
            <w:shd w:fill="18324A"/>
            <w:tcMar>
              <w:top w:w="105" w:type="dxa"/>
              <w:start w:w="125" w:type="dxa"/>
              <w:bottom w:w="105" w:type="dxa"/>
              <w:end w:w="125" w:type="dxa"/>
            </w:tcMar>
            <w:vAlign w:val="center"/>
          </w:tcPr>
          <w:p>
            <w:pPr>
              <w:jc w:val="center"/>
            </w:pPr>
            <w:r>
              <w:rPr>
                <w:b/>
                <w:color w:val="FFFFFF"/>
                <w:sz w:val="16"/>
              </w:rPr>
              <w:t>System behaviour</w:t>
            </w:r>
          </w:p>
        </w:tc>
        <w:tc>
          <w:tcPr>
            <w:tcW w:type="dxa" w:w="3456"/>
            <w:shd w:fill="18324A"/>
            <w:tcMar>
              <w:top w:w="105" w:type="dxa"/>
              <w:start w:w="125" w:type="dxa"/>
              <w:bottom w:w="105" w:type="dxa"/>
              <w:end w:w="125" w:type="dxa"/>
            </w:tcMar>
            <w:vAlign w:val="center"/>
          </w:tcPr>
          <w:p>
            <w:pPr>
              <w:jc w:val="center"/>
            </w:pPr>
            <w:r>
              <w:rPr>
                <w:b/>
                <w:color w:val="FFFFFF"/>
                <w:sz w:val="16"/>
              </w:rPr>
              <w:t>Exception path</w:t>
            </w:r>
          </w:p>
        </w:tc>
      </w:tr>
      <w:tr>
        <w:tc>
          <w:tcPr>
            <w:tcW w:type="dxa" w:w="1872"/>
            <w:tcMar>
              <w:top w:w="105" w:type="dxa"/>
              <w:start w:w="125" w:type="dxa"/>
              <w:bottom w:w="105" w:type="dxa"/>
              <w:end w:w="125" w:type="dxa"/>
            </w:tcMar>
            <w:vAlign w:val="center"/>
          </w:tcPr>
          <w:p>
            <w:pPr>
              <w:spacing w:after="0" w:line="252" w:lineRule="auto"/>
            </w:pPr>
            <w:r>
              <w:rPr>
                <w:sz w:val="16"/>
              </w:rPr>
              <w:t>File and modality</w:t>
            </w:r>
          </w:p>
        </w:tc>
        <w:tc>
          <w:tcPr>
            <w:tcW w:type="dxa" w:w="4320"/>
            <w:tcMar>
              <w:top w:w="105" w:type="dxa"/>
              <w:start w:w="125" w:type="dxa"/>
              <w:bottom w:w="105" w:type="dxa"/>
              <w:end w:w="125" w:type="dxa"/>
            </w:tcMar>
            <w:vAlign w:val="center"/>
          </w:tcPr>
          <w:p>
            <w:pPr>
              <w:spacing w:after="0" w:line="252" w:lineRule="auto"/>
            </w:pPr>
            <w:r>
              <w:rPr>
                <w:sz w:val="16"/>
              </w:rPr>
              <w:t>Accept a readable CR or DX DICOM with pixel data and required UIDs.</w:t>
            </w:r>
          </w:p>
        </w:tc>
        <w:tc>
          <w:tcPr>
            <w:tcW w:type="dxa" w:w="3456"/>
            <w:tcMar>
              <w:top w:w="105" w:type="dxa"/>
              <w:start w:w="125" w:type="dxa"/>
              <w:bottom w:w="105" w:type="dxa"/>
              <w:end w:w="125" w:type="dxa"/>
            </w:tcMar>
            <w:vAlign w:val="center"/>
          </w:tcPr>
          <w:p>
            <w:pPr>
              <w:spacing w:after="0" w:line="252" w:lineRule="auto"/>
            </w:pPr>
            <w:r>
              <w:rPr>
                <w:sz w:val="16"/>
              </w:rPr>
              <w:t>Reject unreadable, unsupported, or incomplete files.</w:t>
            </w:r>
          </w:p>
        </w:tc>
      </w:tr>
      <w:tr>
        <w:tc>
          <w:tcPr>
            <w:tcW w:type="dxa" w:w="1872"/>
            <w:tcMar>
              <w:top w:w="105" w:type="dxa"/>
              <w:start w:w="125" w:type="dxa"/>
              <w:bottom w:w="105" w:type="dxa"/>
              <w:end w:w="125" w:type="dxa"/>
            </w:tcMar>
            <w:vAlign w:val="center"/>
            <w:shd w:fill="F5F8FA"/>
          </w:tcPr>
          <w:p>
            <w:pPr>
              <w:spacing w:after="0" w:line="252" w:lineRule="auto"/>
            </w:pPr>
            <w:r>
              <w:rPr>
                <w:sz w:val="16"/>
              </w:rPr>
              <w:t>Accession</w:t>
            </w:r>
          </w:p>
        </w:tc>
        <w:tc>
          <w:tcPr>
            <w:tcW w:type="dxa" w:w="4320"/>
            <w:tcMar>
              <w:top w:w="105" w:type="dxa"/>
              <w:start w:w="125" w:type="dxa"/>
              <w:bottom w:w="105" w:type="dxa"/>
              <w:end w:w="125" w:type="dxa"/>
            </w:tcMar>
            <w:vAlign w:val="center"/>
            <w:shd w:fill="F5F8FA"/>
          </w:tcPr>
          <w:p>
            <w:pPr>
              <w:spacing w:after="0" w:line="252" w:lineRule="auto"/>
            </w:pPr>
            <w:r>
              <w:rPr>
                <w:sz w:val="16"/>
              </w:rPr>
              <w:t>Accept blank accession or an accession matching the order; write the order accession to the stored copy.</w:t>
            </w:r>
          </w:p>
        </w:tc>
        <w:tc>
          <w:tcPr>
            <w:tcW w:type="dxa" w:w="3456"/>
            <w:tcMar>
              <w:top w:w="105" w:type="dxa"/>
              <w:start w:w="125" w:type="dxa"/>
              <w:bottom w:w="105" w:type="dxa"/>
              <w:end w:w="125" w:type="dxa"/>
            </w:tcMar>
            <w:vAlign w:val="center"/>
            <w:shd w:fill="F5F8FA"/>
          </w:tcPr>
          <w:p>
            <w:pPr>
              <w:spacing w:after="0" w:line="252" w:lineRule="auto"/>
            </w:pPr>
            <w:r>
              <w:rPr>
                <w:sz w:val="16"/>
              </w:rPr>
              <w:t>Reject a conflicting accession.</w:t>
            </w:r>
          </w:p>
        </w:tc>
      </w:tr>
      <w:tr>
        <w:tc>
          <w:tcPr>
            <w:tcW w:type="dxa" w:w="1872"/>
            <w:tcMar>
              <w:top w:w="105" w:type="dxa"/>
              <w:start w:w="125" w:type="dxa"/>
              <w:bottom w:w="105" w:type="dxa"/>
              <w:end w:w="125" w:type="dxa"/>
            </w:tcMar>
            <w:vAlign w:val="center"/>
          </w:tcPr>
          <w:p>
            <w:pPr>
              <w:spacing w:after="0" w:line="252" w:lineRule="auto"/>
            </w:pPr>
            <w:r>
              <w:rPr>
                <w:sz w:val="16"/>
              </w:rPr>
              <w:t>Patient identity</w:t>
            </w:r>
          </w:p>
        </w:tc>
        <w:tc>
          <w:tcPr>
            <w:tcW w:type="dxa" w:w="4320"/>
            <w:tcMar>
              <w:top w:w="105" w:type="dxa"/>
              <w:start w:w="125" w:type="dxa"/>
              <w:bottom w:w="105" w:type="dxa"/>
              <w:end w:w="125" w:type="dxa"/>
            </w:tcMar>
            <w:vAlign w:val="center"/>
          </w:tcPr>
          <w:p>
            <w:pPr>
              <w:spacing w:after="0" w:line="252" w:lineRule="auto"/>
            </w:pPr>
            <w:r>
              <w:rPr>
                <w:sz w:val="16"/>
              </w:rPr>
              <w:t>Match the numeric ID, patient code, or an existing unambiguous verified mapping.</w:t>
            </w:r>
          </w:p>
        </w:tc>
        <w:tc>
          <w:tcPr>
            <w:tcW w:type="dxa" w:w="3456"/>
            <w:tcMar>
              <w:top w:w="105" w:type="dxa"/>
              <w:start w:w="125" w:type="dxa"/>
              <w:bottom w:w="105" w:type="dxa"/>
              <w:end w:w="125" w:type="dxa"/>
            </w:tcMar>
            <w:vAlign w:val="center"/>
          </w:tcPr>
          <w:p>
            <w:pPr>
              <w:spacing w:after="0" w:line="252" w:lineRule="auto"/>
            </w:pPr>
            <w:r>
              <w:rPr>
                <w:sz w:val="16"/>
              </w:rPr>
              <w:t>Require explicit radiologist confirmation for an unfamiliar identifier; reject a known mismatch.</w:t>
            </w:r>
          </w:p>
        </w:tc>
      </w:tr>
      <w:tr>
        <w:tc>
          <w:tcPr>
            <w:tcW w:type="dxa" w:w="1872"/>
            <w:tcMar>
              <w:top w:w="105" w:type="dxa"/>
              <w:start w:w="125" w:type="dxa"/>
              <w:bottom w:w="105" w:type="dxa"/>
              <w:end w:w="125" w:type="dxa"/>
            </w:tcMar>
            <w:vAlign w:val="center"/>
            <w:shd w:fill="F5F8FA"/>
          </w:tcPr>
          <w:p>
            <w:pPr>
              <w:spacing w:after="0" w:line="252" w:lineRule="auto"/>
            </w:pPr>
            <w:r>
              <w:rPr>
                <w:sz w:val="16"/>
              </w:rPr>
              <w:t>Requested view</w:t>
            </w:r>
          </w:p>
        </w:tc>
        <w:tc>
          <w:tcPr>
            <w:tcW w:type="dxa" w:w="4320"/>
            <w:tcMar>
              <w:top w:w="105" w:type="dxa"/>
              <w:start w:w="125" w:type="dxa"/>
              <w:bottom w:w="105" w:type="dxa"/>
              <w:end w:w="125" w:type="dxa"/>
            </w:tcMar>
            <w:vAlign w:val="center"/>
            <w:shd w:fill="F5F8FA"/>
          </w:tcPr>
          <w:p>
            <w:pPr>
              <w:spacing w:after="0" w:line="252" w:lineRule="auto"/>
            </w:pPr>
            <w:r>
              <w:rPr>
                <w:sz w:val="16"/>
              </w:rPr>
              <w:t>Match PA or AP to the order slot; require DICOM view position for a paired request.</w:t>
            </w:r>
          </w:p>
        </w:tc>
        <w:tc>
          <w:tcPr>
            <w:tcW w:type="dxa" w:w="3456"/>
            <w:tcMar>
              <w:top w:w="105" w:type="dxa"/>
              <w:start w:w="125" w:type="dxa"/>
              <w:bottom w:w="105" w:type="dxa"/>
              <w:end w:w="125" w:type="dxa"/>
            </w:tcMar>
            <w:vAlign w:val="center"/>
            <w:shd w:fill="F5F8FA"/>
          </w:tcPr>
          <w:p>
            <w:pPr>
              <w:spacing w:after="0" w:line="252" w:lineRule="auto"/>
            </w:pPr>
            <w:r>
              <w:rPr>
                <w:sz w:val="16"/>
              </w:rPr>
              <w:t>Reject wrong or missing view information.</w:t>
            </w:r>
          </w:p>
        </w:tc>
      </w:tr>
      <w:tr>
        <w:tc>
          <w:tcPr>
            <w:tcW w:type="dxa" w:w="1872"/>
            <w:tcMar>
              <w:top w:w="105" w:type="dxa"/>
              <w:start w:w="125" w:type="dxa"/>
              <w:bottom w:w="105" w:type="dxa"/>
              <w:end w:w="125" w:type="dxa"/>
            </w:tcMar>
            <w:vAlign w:val="center"/>
          </w:tcPr>
          <w:p>
            <w:pPr>
              <w:spacing w:after="0" w:line="252" w:lineRule="auto"/>
            </w:pPr>
            <w:r>
              <w:rPr>
                <w:sz w:val="16"/>
              </w:rPr>
              <w:t>Duplicate protection</w:t>
            </w:r>
          </w:p>
        </w:tc>
        <w:tc>
          <w:tcPr>
            <w:tcW w:type="dxa" w:w="4320"/>
            <w:tcMar>
              <w:top w:w="105" w:type="dxa"/>
              <w:start w:w="125" w:type="dxa"/>
              <w:bottom w:w="105" w:type="dxa"/>
              <w:end w:w="125" w:type="dxa"/>
            </w:tcMar>
            <w:vAlign w:val="center"/>
          </w:tcPr>
          <w:p>
            <w:pPr>
              <w:spacing w:after="0" w:line="252" w:lineRule="auto"/>
            </w:pPr>
            <w:r>
              <w:rPr>
                <w:sz w:val="16"/>
              </w:rPr>
              <w:t>Check SOP instance and study UID use across accessions and orders.</w:t>
            </w:r>
          </w:p>
        </w:tc>
        <w:tc>
          <w:tcPr>
            <w:tcW w:type="dxa" w:w="3456"/>
            <w:tcMar>
              <w:top w:w="105" w:type="dxa"/>
              <w:start w:w="125" w:type="dxa"/>
              <w:bottom w:w="105" w:type="dxa"/>
              <w:end w:w="125" w:type="dxa"/>
            </w:tcMar>
            <w:vAlign w:val="center"/>
          </w:tcPr>
          <w:p>
            <w:pPr>
              <w:spacing w:after="0" w:line="252" w:lineRule="auto"/>
            </w:pPr>
            <w:r>
              <w:rPr>
                <w:sz w:val="16"/>
              </w:rPr>
              <w:t>Reject reuse linked to another examination.</w:t>
            </w:r>
          </w:p>
        </w:tc>
      </w:tr>
      <w:tr>
        <w:tc>
          <w:tcPr>
            <w:tcW w:type="dxa" w:w="1872"/>
            <w:tcMar>
              <w:top w:w="105" w:type="dxa"/>
              <w:start w:w="125" w:type="dxa"/>
              <w:bottom w:w="105" w:type="dxa"/>
              <w:end w:w="125" w:type="dxa"/>
            </w:tcMar>
            <w:vAlign w:val="center"/>
            <w:shd w:fill="F5F8FA"/>
          </w:tcPr>
          <w:p>
            <w:pPr>
              <w:spacing w:after="0" w:line="252" w:lineRule="auto"/>
            </w:pPr>
            <w:r>
              <w:rPr>
                <w:sz w:val="16"/>
              </w:rPr>
              <w:t>PACS confirmation</w:t>
            </w:r>
          </w:p>
        </w:tc>
        <w:tc>
          <w:tcPr>
            <w:tcW w:type="dxa" w:w="4320"/>
            <w:tcMar>
              <w:top w:w="105" w:type="dxa"/>
              <w:start w:w="125" w:type="dxa"/>
              <w:bottom w:w="105" w:type="dxa"/>
              <w:end w:w="125" w:type="dxa"/>
            </w:tcMar>
            <w:vAlign w:val="center"/>
            <w:shd w:fill="F5F8FA"/>
          </w:tcPr>
          <w:p>
            <w:pPr>
              <w:spacing w:after="0" w:line="252" w:lineRule="auto"/>
            </w:pPr>
            <w:r>
              <w:rPr>
                <w:sz w:val="16"/>
              </w:rPr>
              <w:t>Complete acquisition only after Orthanc confirms storage.</w:t>
            </w:r>
          </w:p>
        </w:tc>
        <w:tc>
          <w:tcPr>
            <w:tcW w:type="dxa" w:w="3456"/>
            <w:tcMar>
              <w:top w:w="105" w:type="dxa"/>
              <w:start w:w="125" w:type="dxa"/>
              <w:bottom w:w="105" w:type="dxa"/>
              <w:end w:w="125" w:type="dxa"/>
            </w:tcMar>
            <w:vAlign w:val="center"/>
            <w:shd w:fill="F5F8FA"/>
          </w:tcPr>
          <w:p>
            <w:pPr>
              <w:spacing w:after="0" w:line="252" w:lineRule="auto"/>
            </w:pPr>
            <w:r>
              <w:rPr>
                <w:sz w:val="16"/>
              </w:rPr>
              <w:t>Reset the claim after failure so the same file can be retried.</w:t>
            </w:r>
          </w:p>
        </w:tc>
      </w:tr>
    </w:tbl>
    <w:p>
      <w:pPr>
        <w:spacing w:after="0"/>
      </w:pPr>
    </w:p>
    <w:p>
      <w:pPr>
        <w:pStyle w:val="Heading2"/>
        <w:keepNext/>
      </w:pPr>
      <w:r>
        <w:t>Paired View Completeness</w:t>
      </w:r>
    </w:p>
    <w:p>
      <w:pPr>
        <w:pStyle w:val="ListBullet"/>
      </w:pPr>
      <w:r>
        <w:t>PA and AP remain independently identifiable study slots under one accession.</w:t>
      </w:r>
    </w:p>
    <w:p>
      <w:pPr>
        <w:pStyle w:val="ListBullet"/>
      </w:pPr>
      <w:r>
        <w:t>Each view can be uploaded, analysed, and reviewed independently.</w:t>
      </w:r>
    </w:p>
    <w:p>
      <w:pPr>
        <w:pStyle w:val="ListBullet"/>
      </w:pPr>
      <w:r>
        <w:t>The paired examination is ready only after both required views have results.</w:t>
      </w:r>
    </w:p>
    <w:p>
      <w:pPr>
        <w:pStyle w:val="ListBullet"/>
      </w:pPr>
      <w:r>
        <w:t>A failed view may be retried without re-analysing a completed sibling view.</w:t>
      </w:r>
    </w:p>
    <w:p>
      <w:pPr>
        <w:pStyle w:val="Heading1"/>
        <w:keepNext/>
        <w:pageBreakBefore/>
      </w:pPr>
      <w:r>
        <w:t>Stage 4 Storage Eligibility and Analysis</w:t>
      </w:r>
    </w:p>
    <w:p>
      <w:pPr>
        <w:pStyle w:val="BodyText"/>
      </w:pPr>
      <w:r>
        <w:t>Orthanc is the demonstration PACS. The watcher does not treat every archived image as a Meridian patient result. It first confirms that the PACS study is linked to an uploaded order-study record. Only then is the DICOM retrieved for analysis.</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3331"/>
        <w:gridCol w:w="3331"/>
        <w:gridCol w:w="3331"/>
      </w:tblGrid>
      <w:tr>
        <w:trPr>
          <w:tblHeader w:val="true"/>
        </w:trPr>
        <w:tc>
          <w:tcPr>
            <w:tcW w:type="dxa" w:w="2232"/>
            <w:shd w:fill="18324A"/>
            <w:tcMar>
              <w:top w:w="105" w:type="dxa"/>
              <w:start w:w="125" w:type="dxa"/>
              <w:bottom w:w="105" w:type="dxa"/>
              <w:end w:w="125" w:type="dxa"/>
            </w:tcMar>
            <w:vAlign w:val="center"/>
          </w:tcPr>
          <w:p>
            <w:pPr>
              <w:jc w:val="center"/>
            </w:pPr>
            <w:r>
              <w:rPr>
                <w:b/>
                <w:color w:val="FFFFFF"/>
                <w:sz w:val="16"/>
              </w:rPr>
              <w:t>Processing step</w:t>
            </w:r>
          </w:p>
        </w:tc>
        <w:tc>
          <w:tcPr>
            <w:tcW w:type="dxa" w:w="4320"/>
            <w:shd w:fill="18324A"/>
            <w:tcMar>
              <w:top w:w="105" w:type="dxa"/>
              <w:start w:w="125" w:type="dxa"/>
              <w:bottom w:w="105" w:type="dxa"/>
              <w:end w:w="125" w:type="dxa"/>
            </w:tcMar>
            <w:vAlign w:val="center"/>
          </w:tcPr>
          <w:p>
            <w:pPr>
              <w:jc w:val="center"/>
            </w:pPr>
            <w:r>
              <w:rPr>
                <w:b/>
                <w:color w:val="FFFFFF"/>
                <w:sz w:val="16"/>
              </w:rPr>
              <w:t>Expected state</w:t>
            </w:r>
          </w:p>
        </w:tc>
        <w:tc>
          <w:tcPr>
            <w:tcW w:type="dxa" w:w="3096"/>
            <w:shd w:fill="18324A"/>
            <w:tcMar>
              <w:top w:w="105" w:type="dxa"/>
              <w:start w:w="125" w:type="dxa"/>
              <w:bottom w:w="105" w:type="dxa"/>
              <w:end w:w="125" w:type="dxa"/>
            </w:tcMar>
            <w:vAlign w:val="center"/>
          </w:tcPr>
          <w:p>
            <w:pPr>
              <w:jc w:val="center"/>
            </w:pPr>
            <w:r>
              <w:rPr>
                <w:b/>
                <w:color w:val="FFFFFF"/>
                <w:sz w:val="16"/>
              </w:rPr>
              <w:t>Failure handling</w:t>
            </w:r>
          </w:p>
        </w:tc>
      </w:tr>
      <w:tr>
        <w:tc>
          <w:tcPr>
            <w:tcW w:type="dxa" w:w="2232"/>
            <w:tcMar>
              <w:top w:w="105" w:type="dxa"/>
              <w:start w:w="125" w:type="dxa"/>
              <w:bottom w:w="105" w:type="dxa"/>
              <w:end w:w="125" w:type="dxa"/>
            </w:tcMar>
            <w:vAlign w:val="center"/>
          </w:tcPr>
          <w:p>
            <w:pPr>
              <w:spacing w:after="0" w:line="252" w:lineRule="auto"/>
            </w:pPr>
            <w:r>
              <w:rPr>
                <w:sz w:val="16"/>
              </w:rPr>
              <w:t>Order linkage</w:t>
            </w:r>
          </w:p>
        </w:tc>
        <w:tc>
          <w:tcPr>
            <w:tcW w:type="dxa" w:w="4320"/>
            <w:tcMar>
              <w:top w:w="105" w:type="dxa"/>
              <w:start w:w="125" w:type="dxa"/>
              <w:bottom w:w="105" w:type="dxa"/>
              <w:end w:w="125" w:type="dxa"/>
            </w:tcMar>
            <w:vAlign w:val="center"/>
          </w:tcPr>
          <w:p>
            <w:pPr>
              <w:spacing w:after="0" w:line="252" w:lineRule="auto"/>
            </w:pPr>
            <w:r>
              <w:rPr>
                <w:sz w:val="16"/>
              </w:rPr>
              <w:t>The PACS study maps to an eligible uploaded study slot.</w:t>
            </w:r>
          </w:p>
        </w:tc>
        <w:tc>
          <w:tcPr>
            <w:tcW w:type="dxa" w:w="3096"/>
            <w:tcMar>
              <w:top w:w="105" w:type="dxa"/>
              <w:start w:w="125" w:type="dxa"/>
              <w:bottom w:w="105" w:type="dxa"/>
              <w:end w:w="125" w:type="dxa"/>
            </w:tcMar>
            <w:vAlign w:val="center"/>
          </w:tcPr>
          <w:p>
            <w:pPr>
              <w:spacing w:after="0" w:line="252" w:lineRule="auto"/>
            </w:pPr>
            <w:r>
              <w:rPr>
                <w:sz w:val="16"/>
              </w:rPr>
              <w:t>Unlinked PACS content stays outside the patient result workflow.</w:t>
            </w:r>
          </w:p>
        </w:tc>
      </w:tr>
      <w:tr>
        <w:tc>
          <w:tcPr>
            <w:tcW w:type="dxa" w:w="2232"/>
            <w:tcMar>
              <w:top w:w="105" w:type="dxa"/>
              <w:start w:w="125" w:type="dxa"/>
              <w:bottom w:w="105" w:type="dxa"/>
              <w:end w:w="125" w:type="dxa"/>
            </w:tcMar>
            <w:vAlign w:val="center"/>
            <w:shd w:fill="F5F8FA"/>
          </w:tcPr>
          <w:p>
            <w:pPr>
              <w:spacing w:after="0" w:line="252" w:lineRule="auto"/>
            </w:pPr>
            <w:r>
              <w:rPr>
                <w:sz w:val="16"/>
              </w:rPr>
              <w:t>DICOM preparation</w:t>
            </w:r>
          </w:p>
        </w:tc>
        <w:tc>
          <w:tcPr>
            <w:tcW w:type="dxa" w:w="4320"/>
            <w:tcMar>
              <w:top w:w="105" w:type="dxa"/>
              <w:start w:w="125" w:type="dxa"/>
              <w:bottom w:w="105" w:type="dxa"/>
              <w:end w:w="125" w:type="dxa"/>
            </w:tcMar>
            <w:vAlign w:val="center"/>
            <w:shd w:fill="F5F8FA"/>
          </w:tcPr>
          <w:p>
            <w:pPr>
              <w:spacing w:after="0" w:line="252" w:lineRule="auto"/>
            </w:pPr>
            <w:r>
              <w:rPr>
                <w:sz w:val="16"/>
              </w:rPr>
              <w:t>Pixel data, rescale values, photometric interpretation, percentile clipping, and model inputs are prepared.</w:t>
            </w:r>
          </w:p>
        </w:tc>
        <w:tc>
          <w:tcPr>
            <w:tcW w:type="dxa" w:w="3096"/>
            <w:tcMar>
              <w:top w:w="105" w:type="dxa"/>
              <w:start w:w="125" w:type="dxa"/>
              <w:bottom w:w="105" w:type="dxa"/>
              <w:end w:w="125" w:type="dxa"/>
            </w:tcMar>
            <w:vAlign w:val="center"/>
            <w:shd w:fill="F5F8FA"/>
          </w:tcPr>
          <w:p>
            <w:pPr>
              <w:spacing w:after="0" w:line="252" w:lineRule="auto"/>
            </w:pPr>
            <w:r>
              <w:rPr>
                <w:sz w:val="16"/>
              </w:rPr>
              <w:t>Processing errors are recorded and surfaced for retry or support.</w:t>
            </w:r>
          </w:p>
        </w:tc>
      </w:tr>
      <w:tr>
        <w:tc>
          <w:tcPr>
            <w:tcW w:type="dxa" w:w="2232"/>
            <w:tcMar>
              <w:top w:w="105" w:type="dxa"/>
              <w:start w:w="125" w:type="dxa"/>
              <w:bottom w:w="105" w:type="dxa"/>
              <w:end w:w="125" w:type="dxa"/>
            </w:tcMar>
            <w:vAlign w:val="center"/>
          </w:tcPr>
          <w:p>
            <w:pPr>
              <w:spacing w:after="0" w:line="252" w:lineRule="auto"/>
            </w:pPr>
            <w:r>
              <w:rPr>
                <w:sz w:val="16"/>
              </w:rPr>
              <w:t>DenseNet screening</w:t>
            </w:r>
          </w:p>
        </w:tc>
        <w:tc>
          <w:tcPr>
            <w:tcW w:type="dxa" w:w="4320"/>
            <w:tcMar>
              <w:top w:w="105" w:type="dxa"/>
              <w:start w:w="125" w:type="dxa"/>
              <w:bottom w:w="105" w:type="dxa"/>
              <w:end w:w="125" w:type="dxa"/>
            </w:tcMar>
            <w:vAlign w:val="center"/>
          </w:tcPr>
          <w:p>
            <w:pPr>
              <w:spacing w:after="0" w:line="252" w:lineRule="auto"/>
            </w:pPr>
            <w:r>
              <w:rPr>
                <w:sz w:val="16"/>
              </w:rPr>
              <w:t>Generate the lung-opacity screening probability.</w:t>
            </w:r>
          </w:p>
        </w:tc>
        <w:tc>
          <w:tcPr>
            <w:tcW w:type="dxa" w:w="3096"/>
            <w:tcMar>
              <w:top w:w="105" w:type="dxa"/>
              <w:start w:w="125" w:type="dxa"/>
              <w:bottom w:w="105" w:type="dxa"/>
              <w:end w:w="125" w:type="dxa"/>
            </w:tcMar>
            <w:vAlign w:val="center"/>
          </w:tcPr>
          <w:p>
            <w:pPr>
              <w:spacing w:after="0" w:line="252" w:lineRule="auto"/>
            </w:pPr>
            <w:r>
              <w:rPr>
                <w:sz w:val="16"/>
              </w:rPr>
              <w:t>A model failure prevents a completed triage result.</w:t>
            </w:r>
          </w:p>
        </w:tc>
      </w:tr>
      <w:tr>
        <w:tc>
          <w:tcPr>
            <w:tcW w:type="dxa" w:w="2232"/>
            <w:tcMar>
              <w:top w:w="105" w:type="dxa"/>
              <w:start w:w="125" w:type="dxa"/>
              <w:bottom w:w="105" w:type="dxa"/>
              <w:end w:w="125" w:type="dxa"/>
            </w:tcMar>
            <w:vAlign w:val="center"/>
            <w:shd w:fill="F5F8FA"/>
          </w:tcPr>
          <w:p>
            <w:pPr>
              <w:spacing w:after="0" w:line="252" w:lineRule="auto"/>
            </w:pPr>
            <w:r>
              <w:rPr>
                <w:sz w:val="16"/>
              </w:rPr>
              <w:t>YOLO localisation</w:t>
            </w:r>
          </w:p>
        </w:tc>
        <w:tc>
          <w:tcPr>
            <w:tcW w:type="dxa" w:w="4320"/>
            <w:tcMar>
              <w:top w:w="105" w:type="dxa"/>
              <w:start w:w="125" w:type="dxa"/>
              <w:bottom w:w="105" w:type="dxa"/>
              <w:end w:w="125" w:type="dxa"/>
            </w:tcMar>
            <w:vAlign w:val="center"/>
            <w:shd w:fill="F5F8FA"/>
          </w:tcPr>
          <w:p>
            <w:pPr>
              <w:spacing w:after="0" w:line="252" w:lineRule="auto"/>
            </w:pPr>
            <w:r>
              <w:rPr>
                <w:sz w:val="16"/>
              </w:rPr>
              <w:t>Generate qualifying candidate regions and an annotated image.</w:t>
            </w:r>
          </w:p>
        </w:tc>
        <w:tc>
          <w:tcPr>
            <w:tcW w:type="dxa" w:w="3096"/>
            <w:tcMar>
              <w:top w:w="105" w:type="dxa"/>
              <w:start w:w="125" w:type="dxa"/>
              <w:bottom w:w="105" w:type="dxa"/>
              <w:end w:w="125" w:type="dxa"/>
            </w:tcMar>
            <w:vAlign w:val="center"/>
            <w:shd w:fill="F5F8FA"/>
          </w:tcPr>
          <w:p>
            <w:pPr>
              <w:spacing w:after="0" w:line="252" w:lineRule="auto"/>
            </w:pPr>
            <w:r>
              <w:rPr>
                <w:sz w:val="16"/>
              </w:rPr>
              <w:t>A model failure prevents a completed triage result.</w:t>
            </w:r>
          </w:p>
        </w:tc>
      </w:tr>
      <w:tr>
        <w:tc>
          <w:tcPr>
            <w:tcW w:type="dxa" w:w="2232"/>
            <w:tcMar>
              <w:top w:w="105" w:type="dxa"/>
              <w:start w:w="125" w:type="dxa"/>
              <w:bottom w:w="105" w:type="dxa"/>
              <w:end w:w="125" w:type="dxa"/>
            </w:tcMar>
            <w:vAlign w:val="center"/>
          </w:tcPr>
          <w:p>
            <w:pPr>
              <w:spacing w:after="0" w:line="252" w:lineRule="auto"/>
            </w:pPr>
            <w:r>
              <w:rPr>
                <w:sz w:val="16"/>
              </w:rPr>
              <w:t>Decision and persistence</w:t>
            </w:r>
          </w:p>
        </w:tc>
        <w:tc>
          <w:tcPr>
            <w:tcW w:type="dxa" w:w="4320"/>
            <w:tcMar>
              <w:top w:w="105" w:type="dxa"/>
              <w:start w:w="125" w:type="dxa"/>
              <w:bottom w:w="105" w:type="dxa"/>
              <w:end w:w="125" w:type="dxa"/>
            </w:tcMar>
            <w:vAlign w:val="center"/>
          </w:tcPr>
          <w:p>
            <w:pPr>
              <w:spacing w:after="0" w:line="252" w:lineRule="auto"/>
            </w:pPr>
            <w:r>
              <w:rPr>
                <w:sz w:val="16"/>
              </w:rPr>
              <w:t>Store the signals, deterministic category, explanation, images, and analysis timestamp.</w:t>
            </w:r>
          </w:p>
        </w:tc>
        <w:tc>
          <w:tcPr>
            <w:tcW w:type="dxa" w:w="3096"/>
            <w:tcMar>
              <w:top w:w="105" w:type="dxa"/>
              <w:start w:w="125" w:type="dxa"/>
              <w:bottom w:w="105" w:type="dxa"/>
              <w:end w:w="125" w:type="dxa"/>
            </w:tcMar>
            <w:vAlign w:val="center"/>
          </w:tcPr>
          <w:p>
            <w:pPr>
              <w:spacing w:after="0" w:line="252" w:lineRule="auto"/>
            </w:pPr>
            <w:r>
              <w:rPr>
                <w:sz w:val="16"/>
              </w:rPr>
              <w:t>Failed analysis remains retryable; completed results are not duplicated.</w:t>
            </w:r>
          </w:p>
        </w:tc>
      </w:tr>
    </w:tbl>
    <w:p>
      <w:pPr>
        <w:spacing w:after="0"/>
      </w:pPr>
    </w:p>
    <w:p>
      <w:pPr>
        <w:pStyle w:val="BodyText"/>
      </w:pPr>
      <w:r>
        <w:t>This stage supplies the trusted inputs to the primary triage decision. Model output is not exposed as a final report and does not independently create an emergency alert.</w:t>
      </w:r>
    </w:p>
    <w:p>
      <w:pPr>
        <w:pStyle w:val="Heading1"/>
        <w:keepNext/>
        <w:pageBreakBefore/>
      </w:pPr>
      <w:r>
        <w:t>Stages 5 and 6 Prioritisation Review and Reporting</w:t>
      </w:r>
    </w:p>
    <w:p>
      <w:pPr>
        <w:pStyle w:val="BodyText"/>
      </w:pPr>
      <w:r>
        <w:t>Triage becomes operational when the stored AI signals change the order of the radiologist worklist. Unread studies appear before viewed studies. Within each group, High Priority precedes Review Flag and Routine; DenseNet probability orders studies within the same category. The original category remains visible after viewing so its provenance is not lost.</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3331"/>
        <w:gridCol w:w="3331"/>
        <w:gridCol w:w="3331"/>
      </w:tblGrid>
      <w:tr>
        <w:trPr>
          <w:tblHeader w:val="true"/>
        </w:trPr>
        <w:tc>
          <w:tcPr>
            <w:tcW w:type="dxa" w:w="3240"/>
            <w:shd w:fill="18324A"/>
            <w:tcMar>
              <w:top w:w="105" w:type="dxa"/>
              <w:start w:w="125" w:type="dxa"/>
              <w:bottom w:w="105" w:type="dxa"/>
              <w:end w:w="125" w:type="dxa"/>
            </w:tcMar>
            <w:vAlign w:val="center"/>
          </w:tcPr>
          <w:p>
            <w:pPr>
              <w:jc w:val="center"/>
            </w:pPr>
            <w:r>
              <w:rPr>
                <w:b/>
                <w:color w:val="FFFFFF"/>
                <w:sz w:val="16"/>
              </w:rPr>
              <w:t>Radiologist sees</w:t>
            </w:r>
          </w:p>
        </w:tc>
        <w:tc>
          <w:tcPr>
            <w:tcW w:type="dxa" w:w="3240"/>
            <w:shd w:fill="18324A"/>
            <w:tcMar>
              <w:top w:w="105" w:type="dxa"/>
              <w:start w:w="125" w:type="dxa"/>
              <w:bottom w:w="105" w:type="dxa"/>
              <w:end w:w="125" w:type="dxa"/>
            </w:tcMar>
            <w:vAlign w:val="center"/>
          </w:tcPr>
          <w:p>
            <w:pPr>
              <w:jc w:val="center"/>
            </w:pPr>
            <w:r>
              <w:rPr>
                <w:b/>
                <w:color w:val="FFFFFF"/>
                <w:sz w:val="16"/>
              </w:rPr>
              <w:t>Radiologist decides</w:t>
            </w:r>
          </w:p>
        </w:tc>
        <w:tc>
          <w:tcPr>
            <w:tcW w:type="dxa" w:w="3168"/>
            <w:shd w:fill="18324A"/>
            <w:tcMar>
              <w:top w:w="105" w:type="dxa"/>
              <w:start w:w="125" w:type="dxa"/>
              <w:bottom w:w="105" w:type="dxa"/>
              <w:end w:w="125" w:type="dxa"/>
            </w:tcMar>
            <w:vAlign w:val="center"/>
          </w:tcPr>
          <w:p>
            <w:pPr>
              <w:jc w:val="center"/>
            </w:pPr>
            <w:r>
              <w:rPr>
                <w:b/>
                <w:color w:val="FFFFFF"/>
                <w:sz w:val="16"/>
              </w:rPr>
              <w:t>System records</w:t>
            </w:r>
          </w:p>
        </w:tc>
      </w:tr>
      <w:tr>
        <w:tc>
          <w:tcPr>
            <w:tcW w:type="dxa" w:w="3240"/>
            <w:tcMar>
              <w:top w:w="105" w:type="dxa"/>
              <w:start w:w="125" w:type="dxa"/>
              <w:bottom w:w="105" w:type="dxa"/>
              <w:end w:w="125" w:type="dxa"/>
            </w:tcMar>
            <w:vAlign w:val="center"/>
          </w:tcPr>
          <w:p>
            <w:pPr>
              <w:spacing w:after="0" w:line="252" w:lineRule="auto"/>
            </w:pPr>
            <w:r>
              <w:rPr>
                <w:sz w:val="16"/>
              </w:rPr>
              <w:t>Category, screening probability, regions, original and annotated images.</w:t>
            </w:r>
          </w:p>
        </w:tc>
        <w:tc>
          <w:tcPr>
            <w:tcW w:type="dxa" w:w="3240"/>
            <w:tcMar>
              <w:top w:w="105" w:type="dxa"/>
              <w:start w:w="125" w:type="dxa"/>
              <w:bottom w:w="105" w:type="dxa"/>
              <w:end w:w="125" w:type="dxa"/>
            </w:tcMar>
            <w:vAlign w:val="center"/>
          </w:tcPr>
          <w:p>
            <w:pPr>
              <w:spacing w:after="0" w:line="252" w:lineRule="auto"/>
            </w:pPr>
            <w:r>
              <w:rPr>
                <w:sz w:val="16"/>
              </w:rPr>
              <w:t>Whether the image supports a clinical finding and how urgently the examination should be handled.</w:t>
            </w:r>
          </w:p>
        </w:tc>
        <w:tc>
          <w:tcPr>
            <w:tcW w:type="dxa" w:w="3168"/>
            <w:tcMar>
              <w:top w:w="105" w:type="dxa"/>
              <w:start w:w="125" w:type="dxa"/>
              <w:bottom w:w="105" w:type="dxa"/>
              <w:end w:w="125" w:type="dxa"/>
            </w:tcMar>
            <w:vAlign w:val="center"/>
          </w:tcPr>
          <w:p>
            <w:pPr>
              <w:spacing w:after="0" w:line="252" w:lineRule="auto"/>
            </w:pPr>
            <w:r>
              <w:rPr>
                <w:sz w:val="16"/>
              </w:rPr>
              <w:t>Review state, reviewer, timestamp, clinical finding, and report.</w:t>
            </w:r>
          </w:p>
        </w:tc>
      </w:tr>
      <w:tr>
        <w:tc>
          <w:tcPr>
            <w:tcW w:type="dxa" w:w="3240"/>
            <w:tcMar>
              <w:top w:w="105" w:type="dxa"/>
              <w:start w:w="125" w:type="dxa"/>
              <w:bottom w:w="105" w:type="dxa"/>
              <w:end w:w="125" w:type="dxa"/>
            </w:tcMar>
            <w:vAlign w:val="center"/>
            <w:shd w:fill="F5F8FA"/>
          </w:tcPr>
          <w:p>
            <w:pPr>
              <w:spacing w:after="0" w:line="252" w:lineRule="auto"/>
            </w:pPr>
            <w:r>
              <w:rPr>
                <w:sz w:val="16"/>
              </w:rPr>
              <w:t>Patient, accession, view, indication, requested urgency, and relevant history.</w:t>
            </w:r>
          </w:p>
        </w:tc>
        <w:tc>
          <w:tcPr>
            <w:tcW w:type="dxa" w:w="3240"/>
            <w:tcMar>
              <w:top w:w="105" w:type="dxa"/>
              <w:start w:w="125" w:type="dxa"/>
              <w:bottom w:w="105" w:type="dxa"/>
              <w:end w:w="125" w:type="dxa"/>
            </w:tcMar>
            <w:vAlign w:val="center"/>
            <w:shd w:fill="F5F8FA"/>
          </w:tcPr>
          <w:p>
            <w:pPr>
              <w:spacing w:after="0" w:line="252" w:lineRule="auto"/>
            </w:pPr>
            <w:r>
              <w:rPr>
                <w:sz w:val="16"/>
              </w:rPr>
              <w:t>How AI support relates to the clinical context and image quality.</w:t>
            </w:r>
          </w:p>
        </w:tc>
        <w:tc>
          <w:tcPr>
            <w:tcW w:type="dxa" w:w="3168"/>
            <w:tcMar>
              <w:top w:w="105" w:type="dxa"/>
              <w:start w:w="125" w:type="dxa"/>
              <w:bottom w:w="105" w:type="dxa"/>
              <w:end w:w="125" w:type="dxa"/>
            </w:tcMar>
            <w:vAlign w:val="center"/>
            <w:shd w:fill="F5F8FA"/>
          </w:tcPr>
          <w:p>
            <w:pPr>
              <w:spacing w:after="0" w:line="252" w:lineRule="auto"/>
            </w:pPr>
            <w:r>
              <w:rPr>
                <w:sz w:val="16"/>
              </w:rPr>
              <w:t>The final clinician-owned interpretation rather than an AI-authored diagnosis.</w:t>
            </w:r>
          </w:p>
        </w:tc>
      </w:tr>
      <w:tr>
        <w:tc>
          <w:tcPr>
            <w:tcW w:type="dxa" w:w="3240"/>
            <w:tcMar>
              <w:top w:w="105" w:type="dxa"/>
              <w:start w:w="125" w:type="dxa"/>
              <w:bottom w:w="105" w:type="dxa"/>
              <w:end w:w="125" w:type="dxa"/>
            </w:tcMar>
            <w:vAlign w:val="center"/>
          </w:tcPr>
          <w:p>
            <w:pPr>
              <w:spacing w:after="0" w:line="252" w:lineRule="auto"/>
            </w:pPr>
            <w:r>
              <w:rPr>
                <w:sz w:val="16"/>
              </w:rPr>
              <w:t>OHIF access to the stored study.</w:t>
            </w:r>
          </w:p>
        </w:tc>
        <w:tc>
          <w:tcPr>
            <w:tcW w:type="dxa" w:w="3240"/>
            <w:tcMar>
              <w:top w:w="105" w:type="dxa"/>
              <w:start w:w="125" w:type="dxa"/>
              <w:bottom w:w="105" w:type="dxa"/>
              <w:end w:w="125" w:type="dxa"/>
            </w:tcMar>
            <w:vAlign w:val="center"/>
          </w:tcPr>
          <w:p>
            <w:pPr>
              <w:spacing w:after="0" w:line="252" w:lineRule="auto"/>
            </w:pPr>
            <w:r>
              <w:rPr>
                <w:sz w:val="16"/>
              </w:rPr>
              <w:t>Whether additional image review or comparison is required.</w:t>
            </w:r>
          </w:p>
        </w:tc>
        <w:tc>
          <w:tcPr>
            <w:tcW w:type="dxa" w:w="3168"/>
            <w:tcMar>
              <w:top w:w="105" w:type="dxa"/>
              <w:start w:w="125" w:type="dxa"/>
              <w:bottom w:w="105" w:type="dxa"/>
              <w:end w:w="125" w:type="dxa"/>
            </w:tcMar>
            <w:vAlign w:val="center"/>
          </w:tcPr>
          <w:p>
            <w:pPr>
              <w:spacing w:after="0" w:line="252" w:lineRule="auto"/>
            </w:pPr>
            <w:r>
              <w:rPr>
                <w:sz w:val="16"/>
              </w:rPr>
              <w:t>A durable result that downstream patient views can consume.</w:t>
            </w:r>
          </w:p>
        </w:tc>
      </w:tr>
    </w:tbl>
    <w:p>
      <w:pPr>
        <w:spacing w:after="0"/>
      </w:pPr>
    </w:p>
    <w:p>
      <w:pPr>
        <w:pStyle w:val="Heading2"/>
        <w:keepNext/>
      </w:pPr>
      <w:r>
        <w:t>Review Boundary</w:t>
      </w:r>
    </w:p>
    <w:p>
      <w:pPr>
        <w:pStyle w:val="BodyText"/>
      </w:pPr>
      <w:r>
        <w:t>High Priority means prompt review is recommended because both screening signals are positive. Review Flag means one signal is positive. Routine means neither screening signal is positive. All three categories require radiologist interpretation. None of the categories is a confirmed diagnosis or signed critical-result notification.</w:t>
      </w:r>
    </w:p>
    <w:p>
      <w:pPr>
        <w:pStyle w:val="Heading1"/>
        <w:keepNext/>
        <w:pageBreakBefore/>
      </w:pPr>
      <w:r>
        <w:t>Stages 7 and 8 Result Access Comparison and Clarification</w:t>
      </w:r>
    </w:p>
    <w:p>
      <w:pPr>
        <w:pStyle w:val="BodyText"/>
      </w:pPr>
      <w:r>
        <w:t>After review, the result returns to the treating doctor within the patient context. The doctor can see each requested view, its review status, the radiologist report, and authorised image access. For paired examinations, the user can distinguish PA and AP results rather than receiving an ambiguous combined status.</w:t>
      </w:r>
    </w:p>
    <w:p>
      <w:pPr>
        <w:keepNext/>
        <w:jc w:val="center"/>
      </w:pPr>
      <w:r>
        <w:drawing>
          <wp:inline xmlns:a="http://schemas.openxmlformats.org/drawingml/2006/main" xmlns:pic="http://schemas.openxmlformats.org/drawingml/2006/picture">
            <wp:extent cx="4434840" cy="5409292"/>
            <wp:docPr id="7" name="Picture 7" descr="Figure 4  Reviewed imaging result and longitudinal comparison in the patient record" title="Figure 4  Reviewed imaging result and longitudinal comparison in the patient record"/>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4434840" cy="5409292"/>
                    </a:xfrm>
                    <a:prstGeom prst="rect"/>
                  </pic:spPr>
                </pic:pic>
              </a:graphicData>
            </a:graphic>
          </wp:inline>
        </w:drawing>
      </w:r>
    </w:p>
    <w:p>
      <w:pPr>
        <w:pStyle w:val="Caption"/>
        <w:jc w:val="center"/>
      </w:pPr>
      <w:r>
        <w:t>Figure 4  Reviewed imaging result and longitudinal comparison in the patient record</w:t>
      </w:r>
    </w:p>
    <w:p>
      <w:pPr>
        <w:pStyle w:val="Heading2"/>
        <w:keepNext/>
      </w:pPr>
      <w:r>
        <w:t>Follow Up Comparison</w:t>
      </w:r>
    </w:p>
    <w:p>
      <w:pPr>
        <w:pStyle w:val="ListBullet"/>
      </w:pPr>
      <w:r>
        <w:t>A new order may be linked to an earlier order for the same patient and clinical problem.</w:t>
      </w:r>
    </w:p>
    <w:p>
      <w:pPr>
        <w:pStyle w:val="ListBullet"/>
      </w:pPr>
      <w:r>
        <w:t>The workflow assigns a baseline root and sequential study version.</w:t>
      </w:r>
    </w:p>
    <w:p>
      <w:pPr>
        <w:pStyle w:val="ListBullet"/>
      </w:pPr>
      <w:r>
        <w:t>Cross-patient links, cycles, out-of-order links, and removal that would break later history are prevented.</w:t>
      </w:r>
    </w:p>
    <w:p>
      <w:pPr>
        <w:pStyle w:val="ListBullet"/>
      </w:pPr>
      <w:r>
        <w:t>The comparison view returns prior and current images, reports, views, dates, and review states.</w:t>
      </w:r>
    </w:p>
    <w:p>
      <w:pPr>
        <w:pStyle w:val="ListBullet"/>
      </w:pPr>
      <w:r>
        <w:t>The system does not declare that disease has improved or deteriorated; that judgement remains clinical.</w:t>
      </w:r>
    </w:p>
    <w:p>
      <w:pPr>
        <w:pStyle w:val="Heading2"/>
        <w:keepNext/>
      </w:pPr>
      <w:r>
        <w:t>Report Clarification</w:t>
      </w:r>
    </w:p>
    <w:p>
      <w:pPr>
        <w:pStyle w:val="BodyText"/>
      </w:pPr>
      <w:r>
        <w:t>A treating doctor may open a clarification only after a radiologist-reviewed report exists. The thread is attached to a report snapshot and fingerprint so a question cannot silently refer to changed report content. It routes to the reporting radiologist where available or to the shared radiology queue.</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97"/>
        <w:gridCol w:w="4997"/>
      </w:tblGrid>
      <w:tr>
        <w:trPr>
          <w:tblHeader w:val="true"/>
        </w:trPr>
        <w:tc>
          <w:tcPr>
            <w:tcW w:type="dxa" w:w="2376"/>
            <w:shd w:fill="18324A"/>
            <w:tcMar>
              <w:top w:w="105" w:type="dxa"/>
              <w:start w:w="125" w:type="dxa"/>
              <w:bottom w:w="105" w:type="dxa"/>
              <w:end w:w="125" w:type="dxa"/>
            </w:tcMar>
            <w:vAlign w:val="center"/>
          </w:tcPr>
          <w:p>
            <w:pPr>
              <w:jc w:val="center"/>
            </w:pPr>
            <w:r>
              <w:rPr>
                <w:b/>
                <w:color w:val="FFFFFF"/>
                <w:sz w:val="16"/>
              </w:rPr>
              <w:t>Clarification action</w:t>
            </w:r>
          </w:p>
        </w:tc>
        <w:tc>
          <w:tcPr>
            <w:tcW w:type="dxa" w:w="7272"/>
            <w:shd w:fill="18324A"/>
            <w:tcMar>
              <w:top w:w="105" w:type="dxa"/>
              <w:start w:w="125" w:type="dxa"/>
              <w:bottom w:w="105" w:type="dxa"/>
              <w:end w:w="125" w:type="dxa"/>
            </w:tcMar>
            <w:vAlign w:val="center"/>
          </w:tcPr>
          <w:p>
            <w:pPr>
              <w:jc w:val="center"/>
            </w:pPr>
            <w:r>
              <w:rPr>
                <w:b/>
                <w:color w:val="FFFFFF"/>
                <w:sz w:val="16"/>
              </w:rPr>
              <w:t>Owner and rule</w:t>
            </w:r>
          </w:p>
        </w:tc>
      </w:tr>
      <w:tr>
        <w:tc>
          <w:tcPr>
            <w:tcW w:type="dxa" w:w="2376"/>
            <w:tcMar>
              <w:top w:w="105" w:type="dxa"/>
              <w:start w:w="125" w:type="dxa"/>
              <w:bottom w:w="105" w:type="dxa"/>
              <w:end w:w="125" w:type="dxa"/>
            </w:tcMar>
            <w:vAlign w:val="center"/>
          </w:tcPr>
          <w:p>
            <w:pPr>
              <w:spacing w:after="0" w:line="252" w:lineRule="auto"/>
            </w:pPr>
            <w:r>
              <w:rPr>
                <w:sz w:val="16"/>
              </w:rPr>
              <w:t>Request</w:t>
            </w:r>
          </w:p>
        </w:tc>
        <w:tc>
          <w:tcPr>
            <w:tcW w:type="dxa" w:w="7272"/>
            <w:tcMar>
              <w:top w:w="105" w:type="dxa"/>
              <w:start w:w="125" w:type="dxa"/>
              <w:bottom w:w="105" w:type="dxa"/>
              <w:end w:w="125" w:type="dxa"/>
            </w:tcMar>
            <w:vAlign w:val="center"/>
          </w:tcPr>
          <w:p>
            <w:pPr>
              <w:spacing w:after="0" w:line="252" w:lineRule="auto"/>
            </w:pPr>
            <w:r>
              <w:rPr>
                <w:sz w:val="16"/>
              </w:rPr>
              <w:t>Treating doctor opens a question against the current reviewed report.</w:t>
            </w:r>
          </w:p>
        </w:tc>
      </w:tr>
      <w:tr>
        <w:tc>
          <w:tcPr>
            <w:tcW w:type="dxa" w:w="2376"/>
            <w:tcMar>
              <w:top w:w="105" w:type="dxa"/>
              <w:start w:w="125" w:type="dxa"/>
              <w:bottom w:w="105" w:type="dxa"/>
              <w:end w:w="125" w:type="dxa"/>
            </w:tcMar>
            <w:vAlign w:val="center"/>
            <w:shd w:fill="F5F8FA"/>
          </w:tcPr>
          <w:p>
            <w:pPr>
              <w:spacing w:after="0" w:line="252" w:lineRule="auto"/>
            </w:pPr>
            <w:r>
              <w:rPr>
                <w:sz w:val="16"/>
              </w:rPr>
              <w:t>Assign or claim</w:t>
            </w:r>
          </w:p>
        </w:tc>
        <w:tc>
          <w:tcPr>
            <w:tcW w:type="dxa" w:w="7272"/>
            <w:tcMar>
              <w:top w:w="105" w:type="dxa"/>
              <w:start w:w="125" w:type="dxa"/>
              <w:bottom w:w="105" w:type="dxa"/>
              <w:end w:w="125" w:type="dxa"/>
            </w:tcMar>
            <w:vAlign w:val="center"/>
            <w:shd w:fill="F5F8FA"/>
          </w:tcPr>
          <w:p>
            <w:pPr>
              <w:spacing w:after="0" w:line="252" w:lineRule="auto"/>
            </w:pPr>
            <w:r>
              <w:rPr>
                <w:sz w:val="16"/>
              </w:rPr>
              <w:t>Reporting radiologist receives it where available; otherwise a radiologist may claim it from the shared queue.</w:t>
            </w:r>
          </w:p>
        </w:tc>
      </w:tr>
      <w:tr>
        <w:tc>
          <w:tcPr>
            <w:tcW w:type="dxa" w:w="2376"/>
            <w:tcMar>
              <w:top w:w="105" w:type="dxa"/>
              <w:start w:w="125" w:type="dxa"/>
              <w:bottom w:w="105" w:type="dxa"/>
              <w:end w:w="125" w:type="dxa"/>
            </w:tcMar>
            <w:vAlign w:val="center"/>
          </w:tcPr>
          <w:p>
            <w:pPr>
              <w:spacing w:after="0" w:line="252" w:lineRule="auto"/>
            </w:pPr>
            <w:r>
              <w:rPr>
                <w:sz w:val="16"/>
              </w:rPr>
              <w:t>Discuss</w:t>
            </w:r>
          </w:p>
        </w:tc>
        <w:tc>
          <w:tcPr>
            <w:tcW w:type="dxa" w:w="7272"/>
            <w:tcMar>
              <w:top w:w="105" w:type="dxa"/>
              <w:start w:w="125" w:type="dxa"/>
              <w:bottom w:w="105" w:type="dxa"/>
              <w:end w:w="125" w:type="dxa"/>
            </w:tcMar>
            <w:vAlign w:val="center"/>
          </w:tcPr>
          <w:p>
            <w:pPr>
              <w:spacing w:after="0" w:line="252" w:lineRule="auto"/>
            </w:pPr>
            <w:r>
              <w:rPr>
                <w:sz w:val="16"/>
              </w:rPr>
              <w:t>Messages, sender roles, timestamps, reads, and assignment events are retained.</w:t>
            </w:r>
          </w:p>
        </w:tc>
      </w:tr>
      <w:tr>
        <w:tc>
          <w:tcPr>
            <w:tcW w:type="dxa" w:w="2376"/>
            <w:tcMar>
              <w:top w:w="105" w:type="dxa"/>
              <w:start w:w="125" w:type="dxa"/>
              <w:bottom w:w="105" w:type="dxa"/>
              <w:end w:w="125" w:type="dxa"/>
            </w:tcMar>
            <w:vAlign w:val="center"/>
            <w:shd w:fill="F5F8FA"/>
          </w:tcPr>
          <w:p>
            <w:pPr>
              <w:spacing w:after="0" w:line="252" w:lineRule="auto"/>
            </w:pPr>
            <w:r>
              <w:rPr>
                <w:sz w:val="16"/>
              </w:rPr>
              <w:t>Resolve or reopen</w:t>
            </w:r>
          </w:p>
        </w:tc>
        <w:tc>
          <w:tcPr>
            <w:tcW w:type="dxa" w:w="7272"/>
            <w:tcMar>
              <w:top w:w="105" w:type="dxa"/>
              <w:start w:w="125" w:type="dxa"/>
              <w:bottom w:w="105" w:type="dxa"/>
              <w:end w:w="125" w:type="dxa"/>
            </w:tcMar>
            <w:vAlign w:val="center"/>
            <w:shd w:fill="F5F8FA"/>
          </w:tcPr>
          <w:p>
            <w:pPr>
              <w:spacing w:after="0" w:line="252" w:lineRule="auto"/>
            </w:pPr>
            <w:r>
              <w:rPr>
                <w:sz w:val="16"/>
              </w:rPr>
              <w:t>The treating doctor resolves or reopens the discussion based on the response.</w:t>
            </w:r>
          </w:p>
        </w:tc>
      </w:tr>
      <w:tr>
        <w:tc>
          <w:tcPr>
            <w:tcW w:type="dxa" w:w="2376"/>
            <w:tcMar>
              <w:top w:w="105" w:type="dxa"/>
              <w:start w:w="125" w:type="dxa"/>
              <w:bottom w:w="105" w:type="dxa"/>
              <w:end w:w="125" w:type="dxa"/>
            </w:tcMar>
            <w:vAlign w:val="center"/>
          </w:tcPr>
          <w:p>
            <w:pPr>
              <w:spacing w:after="0" w:line="252" w:lineRule="auto"/>
            </w:pPr>
            <w:r>
              <w:rPr>
                <w:sz w:val="16"/>
              </w:rPr>
              <w:t>Clinical boundary</w:t>
            </w:r>
          </w:p>
        </w:tc>
        <w:tc>
          <w:tcPr>
            <w:tcW w:type="dxa" w:w="7272"/>
            <w:tcMar>
              <w:top w:w="105" w:type="dxa"/>
              <w:start w:w="125" w:type="dxa"/>
              <w:bottom w:w="105" w:type="dxa"/>
              <w:end w:w="125" w:type="dxa"/>
            </w:tcMar>
            <w:vAlign w:val="center"/>
          </w:tcPr>
          <w:p>
            <w:pPr>
              <w:spacing w:after="0" w:line="252" w:lineRule="auto"/>
            </w:pPr>
            <w:r>
              <w:rPr>
                <w:sz w:val="16"/>
              </w:rPr>
              <w:t>The discussion does not amend or version the signed report; formal addenda require a separate governed capability.</w:t>
            </w:r>
          </w:p>
        </w:tc>
      </w:tr>
    </w:tbl>
    <w:p>
      <w:pPr>
        <w:spacing w:after="0"/>
      </w:pPr>
    </w:p>
    <w:p>
      <w:pPr>
        <w:keepNext/>
        <w:jc w:val="center"/>
      </w:pPr>
      <w:r>
        <w:drawing>
          <wp:inline xmlns:a="http://schemas.openxmlformats.org/drawingml/2006/main" xmlns:pic="http://schemas.openxmlformats.org/drawingml/2006/picture">
            <wp:extent cx="4754880" cy="3570668"/>
            <wp:docPr id="8" name="Picture 8" descr="Figure 5  Report clarification remains linked to the study and reviewed report" title="Figure 5  Report clarification remains linked to the study and reviewed report"/>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4754880" cy="3570668"/>
                    </a:xfrm>
                    <a:prstGeom prst="rect"/>
                  </pic:spPr>
                </pic:pic>
              </a:graphicData>
            </a:graphic>
          </wp:inline>
        </w:drawing>
      </w:r>
    </w:p>
    <w:p>
      <w:pPr>
        <w:pStyle w:val="Caption"/>
        <w:jc w:val="center"/>
      </w:pPr>
      <w:r>
        <w:t>Figure 5  Report clarification remains linked to the study and reviewed report</w:t>
      </w:r>
    </w:p>
    <w:p>
      <w:pPr>
        <w:pStyle w:val="Heading1"/>
        <w:keepNext/>
        <w:pageBreakBefore/>
      </w:pPr>
      <w:r>
        <w:t>End to End Exceptions and Recovery</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3331"/>
        <w:gridCol w:w="3331"/>
        <w:gridCol w:w="3331"/>
      </w:tblGrid>
      <w:tr>
        <w:trPr>
          <w:tblHeader w:val="true"/>
        </w:trPr>
        <w:tc>
          <w:tcPr>
            <w:tcW w:type="dxa" w:w="2376"/>
            <w:shd w:fill="18324A"/>
            <w:tcMar>
              <w:top w:w="105" w:type="dxa"/>
              <w:start w:w="125" w:type="dxa"/>
              <w:bottom w:w="105" w:type="dxa"/>
              <w:end w:w="125" w:type="dxa"/>
            </w:tcMar>
            <w:vAlign w:val="center"/>
          </w:tcPr>
          <w:p>
            <w:pPr>
              <w:jc w:val="center"/>
            </w:pPr>
            <w:r>
              <w:rPr>
                <w:b/>
                <w:color w:val="FFFFFF"/>
                <w:sz w:val="15"/>
              </w:rPr>
              <w:t>Exception</w:t>
            </w:r>
          </w:p>
        </w:tc>
        <w:tc>
          <w:tcPr>
            <w:tcW w:type="dxa" w:w="4536"/>
            <w:shd w:fill="18324A"/>
            <w:tcMar>
              <w:top w:w="105" w:type="dxa"/>
              <w:start w:w="125" w:type="dxa"/>
              <w:bottom w:w="105" w:type="dxa"/>
              <w:end w:w="125" w:type="dxa"/>
            </w:tcMar>
            <w:vAlign w:val="center"/>
          </w:tcPr>
          <w:p>
            <w:pPr>
              <w:jc w:val="center"/>
            </w:pPr>
            <w:r>
              <w:rPr>
                <w:b/>
                <w:color w:val="FFFFFF"/>
                <w:sz w:val="15"/>
              </w:rPr>
              <w:t>Safe system response</w:t>
            </w:r>
          </w:p>
        </w:tc>
        <w:tc>
          <w:tcPr>
            <w:tcW w:type="dxa" w:w="2736"/>
            <w:shd w:fill="18324A"/>
            <w:tcMar>
              <w:top w:w="105" w:type="dxa"/>
              <w:start w:w="125" w:type="dxa"/>
              <w:bottom w:w="105" w:type="dxa"/>
              <w:end w:w="125" w:type="dxa"/>
            </w:tcMar>
            <w:vAlign w:val="center"/>
          </w:tcPr>
          <w:p>
            <w:pPr>
              <w:jc w:val="center"/>
            </w:pPr>
            <w:r>
              <w:rPr>
                <w:b/>
                <w:color w:val="FFFFFF"/>
                <w:sz w:val="15"/>
              </w:rPr>
              <w:t>Operational follow up</w:t>
            </w:r>
          </w:p>
        </w:tc>
      </w:tr>
      <w:tr>
        <w:tc>
          <w:tcPr>
            <w:tcW w:type="dxa" w:w="2376"/>
            <w:tcMar>
              <w:top w:w="105" w:type="dxa"/>
              <w:start w:w="125" w:type="dxa"/>
              <w:bottom w:w="105" w:type="dxa"/>
              <w:end w:w="125" w:type="dxa"/>
            </w:tcMar>
            <w:vAlign w:val="center"/>
          </w:tcPr>
          <w:p>
            <w:pPr>
              <w:spacing w:after="0" w:line="252" w:lineRule="auto"/>
            </w:pPr>
            <w:r>
              <w:rPr>
                <w:sz w:val="15"/>
              </w:rPr>
              <w:t>Duplicate request retry</w:t>
            </w:r>
          </w:p>
        </w:tc>
        <w:tc>
          <w:tcPr>
            <w:tcW w:type="dxa" w:w="4536"/>
            <w:tcMar>
              <w:top w:w="105" w:type="dxa"/>
              <w:start w:w="125" w:type="dxa"/>
              <w:bottom w:w="105" w:type="dxa"/>
              <w:end w:w="125" w:type="dxa"/>
            </w:tcMar>
            <w:vAlign w:val="center"/>
          </w:tcPr>
          <w:p>
            <w:pPr>
              <w:spacing w:after="0" w:line="252" w:lineRule="auto"/>
            </w:pPr>
            <w:r>
              <w:rPr>
                <w:sz w:val="15"/>
              </w:rPr>
              <w:t>Return the existing request when substantive details match.</w:t>
            </w:r>
          </w:p>
        </w:tc>
        <w:tc>
          <w:tcPr>
            <w:tcW w:type="dxa" w:w="2736"/>
            <w:tcMar>
              <w:top w:w="105" w:type="dxa"/>
              <w:start w:w="125" w:type="dxa"/>
              <w:bottom w:w="105" w:type="dxa"/>
              <w:end w:w="125" w:type="dxa"/>
            </w:tcMar>
            <w:vAlign w:val="center"/>
          </w:tcPr>
          <w:p>
            <w:pPr>
              <w:spacing w:after="0" w:line="252" w:lineRule="auto"/>
            </w:pPr>
            <w:r>
              <w:rPr>
                <w:sz w:val="15"/>
              </w:rPr>
              <w:t>Investigate only conflicting reuse.</w:t>
            </w:r>
          </w:p>
        </w:tc>
      </w:tr>
      <w:tr>
        <w:tc>
          <w:tcPr>
            <w:tcW w:type="dxa" w:w="2376"/>
            <w:tcMar>
              <w:top w:w="105" w:type="dxa"/>
              <w:start w:w="125" w:type="dxa"/>
              <w:bottom w:w="105" w:type="dxa"/>
              <w:end w:w="125" w:type="dxa"/>
            </w:tcMar>
            <w:vAlign w:val="center"/>
            <w:shd w:fill="F5F8FA"/>
          </w:tcPr>
          <w:p>
            <w:pPr>
              <w:spacing w:after="0" w:line="252" w:lineRule="auto"/>
            </w:pPr>
            <w:r>
              <w:rPr>
                <w:sz w:val="15"/>
              </w:rPr>
              <w:t>Unknown DICOM patient identifier</w:t>
            </w:r>
          </w:p>
        </w:tc>
        <w:tc>
          <w:tcPr>
            <w:tcW w:type="dxa" w:w="4536"/>
            <w:tcMar>
              <w:top w:w="105" w:type="dxa"/>
              <w:start w:w="125" w:type="dxa"/>
              <w:bottom w:w="105" w:type="dxa"/>
              <w:end w:w="125" w:type="dxa"/>
            </w:tcMar>
            <w:vAlign w:val="center"/>
            <w:shd w:fill="F5F8FA"/>
          </w:tcPr>
          <w:p>
            <w:pPr>
              <w:spacing w:after="0" w:line="252" w:lineRule="auto"/>
            </w:pPr>
            <w:r>
              <w:rPr>
                <w:sz w:val="15"/>
              </w:rPr>
              <w:t>Pause and require explicit radiologist confirmation with audit context.</w:t>
            </w:r>
          </w:p>
        </w:tc>
        <w:tc>
          <w:tcPr>
            <w:tcW w:type="dxa" w:w="2736"/>
            <w:tcMar>
              <w:top w:w="105" w:type="dxa"/>
              <w:start w:w="125" w:type="dxa"/>
              <w:bottom w:w="105" w:type="dxa"/>
              <w:end w:w="125" w:type="dxa"/>
            </w:tcMar>
            <w:vAlign w:val="center"/>
            <w:shd w:fill="F5F8FA"/>
          </w:tcPr>
          <w:p>
            <w:pPr>
              <w:spacing w:after="0" w:line="252" w:lineRule="auto"/>
            </w:pPr>
            <w:r>
              <w:rPr>
                <w:sz w:val="15"/>
              </w:rPr>
              <w:t>Review mapping frequency and training.</w:t>
            </w:r>
          </w:p>
        </w:tc>
      </w:tr>
      <w:tr>
        <w:tc>
          <w:tcPr>
            <w:tcW w:type="dxa" w:w="2376"/>
            <w:tcMar>
              <w:top w:w="105" w:type="dxa"/>
              <w:start w:w="125" w:type="dxa"/>
              <w:bottom w:w="105" w:type="dxa"/>
              <w:end w:w="125" w:type="dxa"/>
            </w:tcMar>
            <w:vAlign w:val="center"/>
          </w:tcPr>
          <w:p>
            <w:pPr>
              <w:spacing w:after="0" w:line="252" w:lineRule="auto"/>
            </w:pPr>
            <w:r>
              <w:rPr>
                <w:sz w:val="15"/>
              </w:rPr>
              <w:t>Wrong patient accession or view</w:t>
            </w:r>
          </w:p>
        </w:tc>
        <w:tc>
          <w:tcPr>
            <w:tcW w:type="dxa" w:w="4536"/>
            <w:tcMar>
              <w:top w:w="105" w:type="dxa"/>
              <w:start w:w="125" w:type="dxa"/>
              <w:bottom w:w="105" w:type="dxa"/>
              <w:end w:w="125" w:type="dxa"/>
            </w:tcMar>
            <w:vAlign w:val="center"/>
          </w:tcPr>
          <w:p>
            <w:pPr>
              <w:spacing w:after="0" w:line="252" w:lineRule="auto"/>
            </w:pPr>
            <w:r>
              <w:rPr>
                <w:sz w:val="15"/>
              </w:rPr>
              <w:t>Reject before PACS attachment and analysis.</w:t>
            </w:r>
          </w:p>
        </w:tc>
        <w:tc>
          <w:tcPr>
            <w:tcW w:type="dxa" w:w="2736"/>
            <w:tcMar>
              <w:top w:w="105" w:type="dxa"/>
              <w:start w:w="125" w:type="dxa"/>
              <w:bottom w:w="105" w:type="dxa"/>
              <w:end w:w="125" w:type="dxa"/>
            </w:tcMar>
            <w:vAlign w:val="center"/>
          </w:tcPr>
          <w:p>
            <w:pPr>
              <w:spacing w:after="0" w:line="252" w:lineRule="auto"/>
            </w:pPr>
            <w:r>
              <w:rPr>
                <w:sz w:val="15"/>
              </w:rPr>
              <w:t>Correct acquisition or order selection.</w:t>
            </w:r>
          </w:p>
        </w:tc>
      </w:tr>
      <w:tr>
        <w:tc>
          <w:tcPr>
            <w:tcW w:type="dxa" w:w="2376"/>
            <w:tcMar>
              <w:top w:w="105" w:type="dxa"/>
              <w:start w:w="125" w:type="dxa"/>
              <w:bottom w:w="105" w:type="dxa"/>
              <w:end w:w="125" w:type="dxa"/>
            </w:tcMar>
            <w:vAlign w:val="center"/>
            <w:shd w:fill="F5F8FA"/>
          </w:tcPr>
          <w:p>
            <w:pPr>
              <w:spacing w:after="0" w:line="252" w:lineRule="auto"/>
            </w:pPr>
            <w:r>
              <w:rPr>
                <w:sz w:val="15"/>
              </w:rPr>
              <w:t>PACS storage failure</w:t>
            </w:r>
          </w:p>
        </w:tc>
        <w:tc>
          <w:tcPr>
            <w:tcW w:type="dxa" w:w="4536"/>
            <w:tcMar>
              <w:top w:w="105" w:type="dxa"/>
              <w:start w:w="125" w:type="dxa"/>
              <w:bottom w:w="105" w:type="dxa"/>
              <w:end w:w="125" w:type="dxa"/>
            </w:tcMar>
            <w:vAlign w:val="center"/>
            <w:shd w:fill="F5F8FA"/>
          </w:tcPr>
          <w:p>
            <w:pPr>
              <w:spacing w:after="0" w:line="252" w:lineRule="auto"/>
            </w:pPr>
            <w:r>
              <w:rPr>
                <w:sz w:val="15"/>
              </w:rPr>
              <w:t>Reset upload claim for same-file retry.</w:t>
            </w:r>
          </w:p>
        </w:tc>
        <w:tc>
          <w:tcPr>
            <w:tcW w:type="dxa" w:w="2736"/>
            <w:tcMar>
              <w:top w:w="105" w:type="dxa"/>
              <w:start w:w="125" w:type="dxa"/>
              <w:bottom w:w="105" w:type="dxa"/>
              <w:end w:w="125" w:type="dxa"/>
            </w:tcMar>
            <w:vAlign w:val="center"/>
            <w:shd w:fill="F5F8FA"/>
          </w:tcPr>
          <w:p>
            <w:pPr>
              <w:spacing w:after="0" w:line="252" w:lineRule="auto"/>
            </w:pPr>
            <w:r>
              <w:rPr>
                <w:sz w:val="15"/>
              </w:rPr>
              <w:t>Monitor archive health and retry age.</w:t>
            </w:r>
          </w:p>
        </w:tc>
      </w:tr>
      <w:tr>
        <w:tc>
          <w:tcPr>
            <w:tcW w:type="dxa" w:w="2376"/>
            <w:tcMar>
              <w:top w:w="105" w:type="dxa"/>
              <w:start w:w="125" w:type="dxa"/>
              <w:bottom w:w="105" w:type="dxa"/>
              <w:end w:w="125" w:type="dxa"/>
            </w:tcMar>
            <w:vAlign w:val="center"/>
          </w:tcPr>
          <w:p>
            <w:pPr>
              <w:spacing w:after="0" w:line="252" w:lineRule="auto"/>
            </w:pPr>
            <w:r>
              <w:rPr>
                <w:sz w:val="15"/>
              </w:rPr>
              <w:t>One view missing in PA plus AP</w:t>
            </w:r>
          </w:p>
        </w:tc>
        <w:tc>
          <w:tcPr>
            <w:tcW w:type="dxa" w:w="4536"/>
            <w:tcMar>
              <w:top w:w="105" w:type="dxa"/>
              <w:start w:w="125" w:type="dxa"/>
              <w:bottom w:w="105" w:type="dxa"/>
              <w:end w:w="125" w:type="dxa"/>
            </w:tcMar>
            <w:vAlign w:val="center"/>
          </w:tcPr>
          <w:p>
            <w:pPr>
              <w:spacing w:after="0" w:line="252" w:lineRule="auto"/>
            </w:pPr>
            <w:r>
              <w:rPr>
                <w:sz w:val="15"/>
              </w:rPr>
              <w:t>Keep examination incomplete.</w:t>
            </w:r>
          </w:p>
        </w:tc>
        <w:tc>
          <w:tcPr>
            <w:tcW w:type="dxa" w:w="2736"/>
            <w:tcMar>
              <w:top w:w="105" w:type="dxa"/>
              <w:start w:w="125" w:type="dxa"/>
              <w:bottom w:w="105" w:type="dxa"/>
              <w:end w:w="125" w:type="dxa"/>
            </w:tcMar>
            <w:vAlign w:val="center"/>
          </w:tcPr>
          <w:p>
            <w:pPr>
              <w:spacing w:after="0" w:line="252" w:lineRule="auto"/>
            </w:pPr>
            <w:r>
              <w:rPr>
                <w:sz w:val="15"/>
              </w:rPr>
              <w:t>Acquire or upload the outstanding view.</w:t>
            </w:r>
          </w:p>
        </w:tc>
      </w:tr>
      <w:tr>
        <w:tc>
          <w:tcPr>
            <w:tcW w:type="dxa" w:w="2376"/>
            <w:tcMar>
              <w:top w:w="105" w:type="dxa"/>
              <w:start w:w="125" w:type="dxa"/>
              <w:bottom w:w="105" w:type="dxa"/>
              <w:end w:w="125" w:type="dxa"/>
            </w:tcMar>
            <w:vAlign w:val="center"/>
            <w:shd w:fill="F5F8FA"/>
          </w:tcPr>
          <w:p>
            <w:pPr>
              <w:spacing w:after="0" w:line="252" w:lineRule="auto"/>
            </w:pPr>
            <w:r>
              <w:rPr>
                <w:sz w:val="15"/>
              </w:rPr>
              <w:t>AI analysis failure</w:t>
            </w:r>
          </w:p>
        </w:tc>
        <w:tc>
          <w:tcPr>
            <w:tcW w:type="dxa" w:w="4536"/>
            <w:tcMar>
              <w:top w:w="105" w:type="dxa"/>
              <w:start w:w="125" w:type="dxa"/>
              <w:bottom w:w="105" w:type="dxa"/>
              <w:end w:w="125" w:type="dxa"/>
            </w:tcMar>
            <w:vAlign w:val="center"/>
            <w:shd w:fill="F5F8FA"/>
          </w:tcPr>
          <w:p>
            <w:pPr>
              <w:spacing w:after="0" w:line="252" w:lineRule="auto"/>
            </w:pPr>
            <w:r>
              <w:rPr>
                <w:sz w:val="15"/>
              </w:rPr>
              <w:t>Record failure and keep the study visible for retry or manual workflow.</w:t>
            </w:r>
          </w:p>
        </w:tc>
        <w:tc>
          <w:tcPr>
            <w:tcW w:type="dxa" w:w="2736"/>
            <w:tcMar>
              <w:top w:w="105" w:type="dxa"/>
              <w:start w:w="125" w:type="dxa"/>
              <w:bottom w:w="105" w:type="dxa"/>
              <w:end w:w="125" w:type="dxa"/>
            </w:tcMar>
            <w:vAlign w:val="center"/>
            <w:shd w:fill="F5F8FA"/>
          </w:tcPr>
          <w:p>
            <w:pPr>
              <w:spacing w:after="0" w:line="252" w:lineRule="auto"/>
            </w:pPr>
            <w:r>
              <w:rPr>
                <w:sz w:val="15"/>
              </w:rPr>
              <w:t>Use degraded-mode procedures; do not infer a category.</w:t>
            </w:r>
          </w:p>
        </w:tc>
      </w:tr>
      <w:tr>
        <w:tc>
          <w:tcPr>
            <w:tcW w:type="dxa" w:w="2376"/>
            <w:tcMar>
              <w:top w:w="105" w:type="dxa"/>
              <w:start w:w="125" w:type="dxa"/>
              <w:bottom w:w="105" w:type="dxa"/>
              <w:end w:w="125" w:type="dxa"/>
            </w:tcMar>
            <w:vAlign w:val="center"/>
          </w:tcPr>
          <w:p>
            <w:pPr>
              <w:spacing w:after="0" w:line="252" w:lineRule="auto"/>
            </w:pPr>
            <w:r>
              <w:rPr>
                <w:sz w:val="15"/>
              </w:rPr>
              <w:t>Model or service unavailable</w:t>
            </w:r>
          </w:p>
        </w:tc>
        <w:tc>
          <w:tcPr>
            <w:tcW w:type="dxa" w:w="4536"/>
            <w:tcMar>
              <w:top w:w="105" w:type="dxa"/>
              <w:start w:w="125" w:type="dxa"/>
              <w:bottom w:w="105" w:type="dxa"/>
              <w:end w:w="125" w:type="dxa"/>
            </w:tcMar>
            <w:vAlign w:val="center"/>
          </w:tcPr>
          <w:p>
            <w:pPr>
              <w:spacing w:after="0" w:line="252" w:lineRule="auto"/>
            </w:pPr>
            <w:r>
              <w:rPr>
                <w:sz w:val="15"/>
              </w:rPr>
              <w:t>Do not present a stale or fabricated triage result.</w:t>
            </w:r>
          </w:p>
        </w:tc>
        <w:tc>
          <w:tcPr>
            <w:tcW w:type="dxa" w:w="2736"/>
            <w:tcMar>
              <w:top w:w="105" w:type="dxa"/>
              <w:start w:w="125" w:type="dxa"/>
              <w:bottom w:w="105" w:type="dxa"/>
              <w:end w:w="125" w:type="dxa"/>
            </w:tcMar>
            <w:vAlign w:val="center"/>
          </w:tcPr>
          <w:p>
            <w:pPr>
              <w:spacing w:after="0" w:line="252" w:lineRule="auto"/>
            </w:pPr>
            <w:r>
              <w:rPr>
                <w:sz w:val="15"/>
              </w:rPr>
              <w:t>Continue radiologist review under the documented manual queue process.</w:t>
            </w:r>
          </w:p>
        </w:tc>
      </w:tr>
      <w:tr>
        <w:tc>
          <w:tcPr>
            <w:tcW w:type="dxa" w:w="2376"/>
            <w:tcMar>
              <w:top w:w="105" w:type="dxa"/>
              <w:start w:w="125" w:type="dxa"/>
              <w:bottom w:w="105" w:type="dxa"/>
              <w:end w:w="125" w:type="dxa"/>
            </w:tcMar>
            <w:vAlign w:val="center"/>
            <w:shd w:fill="F5F8FA"/>
          </w:tcPr>
          <w:p>
            <w:pPr>
              <w:spacing w:after="0" w:line="252" w:lineRule="auto"/>
            </w:pPr>
            <w:r>
              <w:rPr>
                <w:sz w:val="15"/>
              </w:rPr>
              <w:t>Report changes before clarification</w:t>
            </w:r>
          </w:p>
        </w:tc>
        <w:tc>
          <w:tcPr>
            <w:tcW w:type="dxa" w:w="4536"/>
            <w:tcMar>
              <w:top w:w="105" w:type="dxa"/>
              <w:start w:w="125" w:type="dxa"/>
              <w:bottom w:w="105" w:type="dxa"/>
              <w:end w:w="125" w:type="dxa"/>
            </w:tcMar>
            <w:vAlign w:val="center"/>
            <w:shd w:fill="F5F8FA"/>
          </w:tcPr>
          <w:p>
            <w:pPr>
              <w:spacing w:after="0" w:line="252" w:lineRule="auto"/>
            </w:pPr>
            <w:r>
              <w:rPr>
                <w:sz w:val="15"/>
              </w:rPr>
              <w:t>Reject the stale clarification draft.</w:t>
            </w:r>
          </w:p>
        </w:tc>
        <w:tc>
          <w:tcPr>
            <w:tcW w:type="dxa" w:w="2736"/>
            <w:tcMar>
              <w:top w:w="105" w:type="dxa"/>
              <w:start w:w="125" w:type="dxa"/>
              <w:bottom w:w="105" w:type="dxa"/>
              <w:end w:w="125" w:type="dxa"/>
            </w:tcMar>
            <w:vAlign w:val="center"/>
            <w:shd w:fill="F5F8FA"/>
          </w:tcPr>
          <w:p>
            <w:pPr>
              <w:spacing w:after="0" w:line="252" w:lineRule="auto"/>
            </w:pPr>
            <w:r>
              <w:rPr>
                <w:sz w:val="15"/>
              </w:rPr>
              <w:t>Refresh and open the question against the current report.</w:t>
            </w:r>
          </w:p>
        </w:tc>
      </w:tr>
      <w:tr>
        <w:tc>
          <w:tcPr>
            <w:tcW w:type="dxa" w:w="2376"/>
            <w:tcMar>
              <w:top w:w="105" w:type="dxa"/>
              <w:start w:w="125" w:type="dxa"/>
              <w:bottom w:w="105" w:type="dxa"/>
              <w:end w:w="125" w:type="dxa"/>
            </w:tcMar>
            <w:vAlign w:val="center"/>
          </w:tcPr>
          <w:p>
            <w:pPr>
              <w:spacing w:after="0" w:line="252" w:lineRule="auto"/>
            </w:pPr>
            <w:r>
              <w:rPr>
                <w:sz w:val="15"/>
              </w:rPr>
              <w:t>Incorrect follow-up link</w:t>
            </w:r>
          </w:p>
        </w:tc>
        <w:tc>
          <w:tcPr>
            <w:tcW w:type="dxa" w:w="4536"/>
            <w:tcMar>
              <w:top w:w="105" w:type="dxa"/>
              <w:start w:w="125" w:type="dxa"/>
              <w:bottom w:w="105" w:type="dxa"/>
              <w:end w:w="125" w:type="dxa"/>
            </w:tcMar>
            <w:vAlign w:val="center"/>
          </w:tcPr>
          <w:p>
            <w:pPr>
              <w:spacing w:after="0" w:line="252" w:lineRule="auto"/>
            </w:pPr>
            <w:r>
              <w:rPr>
                <w:sz w:val="15"/>
              </w:rPr>
              <w:t>Allow audited separation when later links do not depend on it.</w:t>
            </w:r>
          </w:p>
        </w:tc>
        <w:tc>
          <w:tcPr>
            <w:tcW w:type="dxa" w:w="2736"/>
            <w:tcMar>
              <w:top w:w="105" w:type="dxa"/>
              <w:start w:w="125" w:type="dxa"/>
              <w:bottom w:w="105" w:type="dxa"/>
              <w:end w:w="125" w:type="dxa"/>
            </w:tcMar>
            <w:vAlign w:val="center"/>
          </w:tcPr>
          <w:p>
            <w:pPr>
              <w:spacing w:after="0" w:line="252" w:lineRule="auto"/>
            </w:pPr>
            <w:r>
              <w:rPr>
                <w:sz w:val="15"/>
              </w:rPr>
              <w:t>Record the reason and preserve reports.</w:t>
            </w:r>
          </w:p>
        </w:tc>
      </w:tr>
    </w:tbl>
    <w:p>
      <w:pPr>
        <w:spacing w:after="0"/>
      </w:pPr>
    </w:p>
    <w:p>
      <w:pPr>
        <w:pStyle w:val="Heading2"/>
        <w:keepNext/>
      </w:pPr>
      <w:r>
        <w:t>Audit and Accountability Across the Journey</w:t>
      </w:r>
    </w:p>
    <w:p>
      <w:pPr>
        <w:pStyle w:val="BodyText"/>
      </w:pPr>
      <w:r>
        <w:t>The workflow retains order and accession identifiers, uploaded study references, analysis timestamps, category inputs and outputs, review provenance, follow-up link events, clarification messages, assignment events, read receipts, and lifecycle states. Production governance should define retention, access review, report-signing authority, incident handling, and audit review responsibilities.</w:t>
      </w:r>
    </w:p>
    <w:sectPr w:rsidR="00FC693F" w:rsidRPr="0006063C" w:rsidSect="00034616">
      <w:footerReference w:type="default" r:id="rId14"/>
      <w:pgSz w:w="12240" w:h="15840"/>
      <w:pgMar w:top="1037" w:right="1123" w:bottom="1037" w:left="1123" w:header="720" w:footer="720" w:gutter="0"/>
      <w:cols w:space="720"/>
      <w:docGrid w:linePitch="360"/>
    </w:sectPr>
    <w:p>
      <w:pPr>
        <w:pStyle w:val="Heading1"/>
        <w:keepNext/>
        <w:pageBreakBefore/>
      </w:pPr>
      <w:r>
        <w:t>Operational Problem</w:t>
      </w:r>
    </w:p>
    <w:p>
      <w:pPr>
        <w:pStyle w:val="BodyText"/>
      </w:pPr>
      <w:r>
        <w:t>Radiology teams receive studies with different clinical urgency and imaging characteristics. A purely chronological queue can leave a suspicious study behind routine work, while an uncontrolled alerting system can create fatigue. The design therefore uses a small, explicit category set and keeps the radiologist as the final decision-maker.</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3331"/>
        <w:gridCol w:w="3331"/>
        <w:gridCol w:w="3331"/>
      </w:tblGrid>
      <w:tr>
        <w:trPr>
          <w:tblHeader w:val="true"/>
        </w:trPr>
        <w:tc>
          <w:tcPr>
            <w:tcW w:type="dxa" w:w="2376"/>
            <w:shd w:fill="18324A"/>
            <w:tcMar>
              <w:top w:w="105" w:type="dxa"/>
              <w:start w:w="125" w:type="dxa"/>
              <w:bottom w:w="105" w:type="dxa"/>
              <w:end w:w="125" w:type="dxa"/>
            </w:tcMar>
            <w:vAlign w:val="center"/>
          </w:tcPr>
          <w:p>
            <w:pPr>
              <w:jc w:val="center"/>
            </w:pPr>
            <w:r>
              <w:rPr>
                <w:b/>
                <w:color w:val="FFFFFF"/>
                <w:sz w:val="16"/>
              </w:rPr>
              <w:t>Problem</w:t>
            </w:r>
          </w:p>
        </w:tc>
        <w:tc>
          <w:tcPr>
            <w:tcW w:type="dxa" w:w="3384"/>
            <w:shd w:fill="18324A"/>
            <w:tcMar>
              <w:top w:w="105" w:type="dxa"/>
              <w:start w:w="125" w:type="dxa"/>
              <w:bottom w:w="105" w:type="dxa"/>
              <w:end w:w="125" w:type="dxa"/>
            </w:tcMar>
            <w:vAlign w:val="center"/>
          </w:tcPr>
          <w:p>
            <w:pPr>
              <w:jc w:val="center"/>
            </w:pPr>
            <w:r>
              <w:rPr>
                <w:b/>
                <w:color w:val="FFFFFF"/>
                <w:sz w:val="16"/>
              </w:rPr>
              <w:t>Consequence</w:t>
            </w:r>
          </w:p>
        </w:tc>
        <w:tc>
          <w:tcPr>
            <w:tcW w:type="dxa" w:w="3888"/>
            <w:shd w:fill="18324A"/>
            <w:tcMar>
              <w:top w:w="105" w:type="dxa"/>
              <w:start w:w="125" w:type="dxa"/>
              <w:bottom w:w="105" w:type="dxa"/>
              <w:end w:w="125" w:type="dxa"/>
            </w:tcMar>
            <w:vAlign w:val="center"/>
          </w:tcPr>
          <w:p>
            <w:pPr>
              <w:jc w:val="center"/>
            </w:pPr>
            <w:r>
              <w:rPr>
                <w:b/>
                <w:color w:val="FFFFFF"/>
                <w:sz w:val="16"/>
              </w:rPr>
              <w:t>Triage response</w:t>
            </w:r>
          </w:p>
        </w:tc>
      </w:tr>
      <w:tr>
        <w:tc>
          <w:tcPr>
            <w:tcW w:type="dxa" w:w="2376"/>
            <w:tcMar>
              <w:top w:w="105" w:type="dxa"/>
              <w:start w:w="125" w:type="dxa"/>
              <w:bottom w:w="105" w:type="dxa"/>
              <w:end w:w="125" w:type="dxa"/>
            </w:tcMar>
            <w:vAlign w:val="center"/>
          </w:tcPr>
          <w:p>
            <w:pPr>
              <w:spacing w:after="0" w:line="252" w:lineRule="auto"/>
            </w:pPr>
            <w:r>
              <w:rPr>
                <w:sz w:val="16"/>
              </w:rPr>
              <w:t>Studies arrive faster than they can be read</w:t>
            </w:r>
          </w:p>
        </w:tc>
        <w:tc>
          <w:tcPr>
            <w:tcW w:type="dxa" w:w="3384"/>
            <w:tcMar>
              <w:top w:w="105" w:type="dxa"/>
              <w:start w:w="125" w:type="dxa"/>
              <w:bottom w:w="105" w:type="dxa"/>
              <w:end w:w="125" w:type="dxa"/>
            </w:tcMar>
            <w:vAlign w:val="center"/>
          </w:tcPr>
          <w:p>
            <w:pPr>
              <w:spacing w:after="0" w:line="252" w:lineRule="auto"/>
            </w:pPr>
            <w:r>
              <w:rPr>
                <w:sz w:val="16"/>
              </w:rPr>
              <w:t>Potentially important studies wait in arrival order.</w:t>
            </w:r>
          </w:p>
        </w:tc>
        <w:tc>
          <w:tcPr>
            <w:tcW w:type="dxa" w:w="3888"/>
            <w:tcMar>
              <w:top w:w="105" w:type="dxa"/>
              <w:start w:w="125" w:type="dxa"/>
              <w:bottom w:w="105" w:type="dxa"/>
              <w:end w:w="125" w:type="dxa"/>
            </w:tcMar>
            <w:vAlign w:val="center"/>
          </w:tcPr>
          <w:p>
            <w:pPr>
              <w:spacing w:after="0" w:line="252" w:lineRule="auto"/>
            </w:pPr>
            <w:r>
              <w:rPr>
                <w:sz w:val="16"/>
              </w:rPr>
              <w:t>Rank eligible studies by category before probability.</w:t>
            </w:r>
          </w:p>
        </w:tc>
      </w:tr>
      <w:tr>
        <w:tc>
          <w:tcPr>
            <w:tcW w:type="dxa" w:w="2376"/>
            <w:tcMar>
              <w:top w:w="105" w:type="dxa"/>
              <w:start w:w="125" w:type="dxa"/>
              <w:bottom w:w="105" w:type="dxa"/>
              <w:end w:w="125" w:type="dxa"/>
            </w:tcMar>
            <w:vAlign w:val="center"/>
            <w:shd w:fill="F5F8FA"/>
          </w:tcPr>
          <w:p>
            <w:pPr>
              <w:spacing w:after="0" w:line="252" w:lineRule="auto"/>
            </w:pPr>
            <w:r>
              <w:rPr>
                <w:sz w:val="16"/>
              </w:rPr>
              <w:t>One model signal may miss or overcall a finding</w:t>
            </w:r>
          </w:p>
        </w:tc>
        <w:tc>
          <w:tcPr>
            <w:tcW w:type="dxa" w:w="3384"/>
            <w:tcMar>
              <w:top w:w="105" w:type="dxa"/>
              <w:start w:w="125" w:type="dxa"/>
              <w:bottom w:w="105" w:type="dxa"/>
              <w:end w:w="125" w:type="dxa"/>
            </w:tcMar>
            <w:vAlign w:val="center"/>
            <w:shd w:fill="F5F8FA"/>
          </w:tcPr>
          <w:p>
            <w:pPr>
              <w:spacing w:after="0" w:line="252" w:lineRule="auto"/>
            </w:pPr>
            <w:r>
              <w:rPr>
                <w:sz w:val="16"/>
              </w:rPr>
              <w:t>A single score can be brittle.</w:t>
            </w:r>
          </w:p>
        </w:tc>
        <w:tc>
          <w:tcPr>
            <w:tcW w:type="dxa" w:w="3888"/>
            <w:tcMar>
              <w:top w:w="105" w:type="dxa"/>
              <w:start w:w="125" w:type="dxa"/>
              <w:bottom w:w="105" w:type="dxa"/>
              <w:end w:w="125" w:type="dxa"/>
            </w:tcMar>
            <w:vAlign w:val="center"/>
            <w:shd w:fill="F5F8FA"/>
          </w:tcPr>
          <w:p>
            <w:pPr>
              <w:spacing w:after="0" w:line="252" w:lineRule="auto"/>
            </w:pPr>
            <w:r>
              <w:rPr>
                <w:sz w:val="16"/>
              </w:rPr>
              <w:t>Use classification and localisation as complementary signals.</w:t>
            </w:r>
          </w:p>
        </w:tc>
      </w:tr>
      <w:tr>
        <w:tc>
          <w:tcPr>
            <w:tcW w:type="dxa" w:w="2376"/>
            <w:tcMar>
              <w:top w:w="105" w:type="dxa"/>
              <w:start w:w="125" w:type="dxa"/>
              <w:bottom w:w="105" w:type="dxa"/>
              <w:end w:w="125" w:type="dxa"/>
            </w:tcMar>
            <w:vAlign w:val="center"/>
          </w:tcPr>
          <w:p>
            <w:pPr>
              <w:spacing w:after="0" w:line="252" w:lineRule="auto"/>
            </w:pPr>
            <w:r>
              <w:rPr>
                <w:sz w:val="16"/>
              </w:rPr>
              <w:t>Alerts can become diagnoses in practice</w:t>
            </w:r>
          </w:p>
        </w:tc>
        <w:tc>
          <w:tcPr>
            <w:tcW w:type="dxa" w:w="3384"/>
            <w:tcMar>
              <w:top w:w="105" w:type="dxa"/>
              <w:start w:w="125" w:type="dxa"/>
              <w:bottom w:w="105" w:type="dxa"/>
              <w:end w:w="125" w:type="dxa"/>
            </w:tcMar>
            <w:vAlign w:val="center"/>
          </w:tcPr>
          <w:p>
            <w:pPr>
              <w:spacing w:after="0" w:line="252" w:lineRule="auto"/>
            </w:pPr>
            <w:r>
              <w:rPr>
                <w:sz w:val="16"/>
              </w:rPr>
              <w:t>Users may over-rely on an AI label.</w:t>
            </w:r>
          </w:p>
        </w:tc>
        <w:tc>
          <w:tcPr>
            <w:tcW w:type="dxa" w:w="3888"/>
            <w:tcMar>
              <w:top w:w="105" w:type="dxa"/>
              <w:start w:w="125" w:type="dxa"/>
              <w:bottom w:w="105" w:type="dxa"/>
              <w:end w:w="125" w:type="dxa"/>
            </w:tcMar>
            <w:vAlign w:val="center"/>
          </w:tcPr>
          <w:p>
            <w:pPr>
              <w:spacing w:after="0" w:line="252" w:lineRule="auto"/>
            </w:pPr>
            <w:r>
              <w:rPr>
                <w:sz w:val="16"/>
              </w:rPr>
              <w:t>Use triage-only language and require radiologist interpretation.</w:t>
            </w:r>
          </w:p>
        </w:tc>
      </w:tr>
      <w:tr>
        <w:tc>
          <w:tcPr>
            <w:tcW w:type="dxa" w:w="2376"/>
            <w:tcMar>
              <w:top w:w="105" w:type="dxa"/>
              <w:start w:w="125" w:type="dxa"/>
              <w:bottom w:w="105" w:type="dxa"/>
              <w:end w:w="125" w:type="dxa"/>
            </w:tcMar>
            <w:vAlign w:val="center"/>
            <w:shd w:fill="F5F8FA"/>
          </w:tcPr>
          <w:p>
            <w:pPr>
              <w:spacing w:after="0" w:line="252" w:lineRule="auto"/>
            </w:pPr>
            <w:r>
              <w:rPr>
                <w:sz w:val="16"/>
              </w:rPr>
              <w:t>A read study can continue to dominate the queue</w:t>
            </w:r>
          </w:p>
        </w:tc>
        <w:tc>
          <w:tcPr>
            <w:tcW w:type="dxa" w:w="3384"/>
            <w:tcMar>
              <w:top w:w="105" w:type="dxa"/>
              <w:start w:w="125" w:type="dxa"/>
              <w:bottom w:w="105" w:type="dxa"/>
              <w:end w:w="125" w:type="dxa"/>
            </w:tcMar>
            <w:vAlign w:val="center"/>
            <w:shd w:fill="F5F8FA"/>
          </w:tcPr>
          <w:p>
            <w:pPr>
              <w:spacing w:after="0" w:line="252" w:lineRule="auto"/>
            </w:pPr>
            <w:r>
              <w:rPr>
                <w:sz w:val="16"/>
              </w:rPr>
              <w:t>Pending work becomes harder to see.</w:t>
            </w:r>
          </w:p>
        </w:tc>
        <w:tc>
          <w:tcPr>
            <w:tcW w:type="dxa" w:w="3888"/>
            <w:tcMar>
              <w:top w:w="105" w:type="dxa"/>
              <w:start w:w="125" w:type="dxa"/>
              <w:bottom w:w="105" w:type="dxa"/>
              <w:end w:w="125" w:type="dxa"/>
            </w:tcMar>
            <w:vAlign w:val="center"/>
            <w:shd w:fill="F5F8FA"/>
          </w:tcPr>
          <w:p>
            <w:pPr>
              <w:spacing w:after="0" w:line="252" w:lineRule="auto"/>
            </w:pPr>
            <w:r>
              <w:rPr>
                <w:sz w:val="16"/>
              </w:rPr>
              <w:t>Show unread studies first while retaining the original category.</w:t>
            </w:r>
          </w:p>
        </w:tc>
      </w:tr>
      <w:tr>
        <w:tc>
          <w:tcPr>
            <w:tcW w:type="dxa" w:w="2376"/>
            <w:tcMar>
              <w:top w:w="105" w:type="dxa"/>
              <w:start w:w="125" w:type="dxa"/>
              <w:bottom w:w="105" w:type="dxa"/>
              <w:end w:w="125" w:type="dxa"/>
            </w:tcMar>
            <w:vAlign w:val="center"/>
          </w:tcPr>
          <w:p>
            <w:pPr>
              <w:spacing w:after="0" w:line="252" w:lineRule="auto"/>
            </w:pPr>
            <w:r>
              <w:rPr>
                <w:sz w:val="16"/>
              </w:rPr>
              <w:t>Priority value is not measured</w:t>
            </w:r>
          </w:p>
        </w:tc>
        <w:tc>
          <w:tcPr>
            <w:tcW w:type="dxa" w:w="3384"/>
            <w:tcMar>
              <w:top w:w="105" w:type="dxa"/>
              <w:start w:w="125" w:type="dxa"/>
              <w:bottom w:w="105" w:type="dxa"/>
              <w:end w:w="125" w:type="dxa"/>
            </w:tcMar>
            <w:vAlign w:val="center"/>
          </w:tcPr>
          <w:p>
            <w:pPr>
              <w:spacing w:after="0" w:line="252" w:lineRule="auto"/>
            </w:pPr>
            <w:r>
              <w:rPr>
                <w:sz w:val="16"/>
              </w:rPr>
              <w:t>A visually impressive queue may not improve care.</w:t>
            </w:r>
          </w:p>
        </w:tc>
        <w:tc>
          <w:tcPr>
            <w:tcW w:type="dxa" w:w="3888"/>
            <w:tcMar>
              <w:top w:w="105" w:type="dxa"/>
              <w:start w:w="125" w:type="dxa"/>
              <w:bottom w:w="105" w:type="dxa"/>
              <w:end w:w="125" w:type="dxa"/>
            </w:tcMar>
            <w:vAlign w:val="center"/>
          </w:tcPr>
          <w:p>
            <w:pPr>
              <w:spacing w:after="0" w:line="252" w:lineRule="auto"/>
            </w:pPr>
            <w:r>
              <w:rPr>
                <w:sz w:val="16"/>
              </w:rPr>
              <w:t>Track turnaround, agreement, false-alert workload, and missed findings.</w:t>
            </w:r>
          </w:p>
        </w:tc>
      </w:tr>
    </w:tbl>
    <w:p>
      <w:pPr>
        <w:spacing w:after="0"/>
      </w:pPr>
    </w:p>
    <w:p>
      <w:pPr>
        <w:pStyle w:val="Heading2"/>
        <w:keepNext/>
      </w:pPr>
      <w:r>
        <w:t>Primary Actors</w:t>
      </w:r>
    </w:p>
    <w:p>
      <w:pPr>
        <w:pStyle w:val="ListBullet"/>
      </w:pPr>
      <w:r>
        <w:t>Radiologist: reviews the prioritised worklist, opens images, interprets the examination, and records the clinical result.</w:t>
      </w:r>
    </w:p>
    <w:p>
      <w:pPr>
        <w:pStyle w:val="ListBullet"/>
      </w:pPr>
      <w:r>
        <w:t>Clinical AI owner: approves intended use, thresholds, validation evidence, monitoring, and changes.</w:t>
      </w:r>
    </w:p>
    <w:p>
      <w:pPr>
        <w:pStyle w:val="ListBullet"/>
      </w:pPr>
      <w:r>
        <w:t>Radiology operations lead: sets turnaround expectations and monitors queue performance.</w:t>
      </w:r>
    </w:p>
    <w:p>
      <w:pPr>
        <w:pStyle w:val="ListBullet"/>
      </w:pPr>
      <w:r>
        <w:t>Technology team: maintains image ingestion, inference, worklist availability, auditability, and degraded-mode procedures.</w:t>
      </w:r>
    </w:p>
    <w:p>
      <w:pPr>
        <w:pStyle w:val="Heading1"/>
        <w:keepNext/>
        <w:pageBreakBefore/>
      </w:pPr>
      <w:r>
        <w:t>Triage Prioritisation Flow</w:t>
      </w:r>
    </w:p>
    <w:p>
      <w:pPr>
        <w:pStyle w:val="BodyText"/>
        <w:ind w:left="259" w:hanging="259"/>
      </w:pPr>
      <w:r>
        <w:rPr>
          <w:b/>
          <w:color w:val="18324A"/>
        </w:rPr>
        <w:t xml:space="preserve">1  Study becomes eligible  </w:t>
      </w:r>
      <w:r>
        <w:t>A verified, order-linked chest X-ray reaches the analysis workflow.</w:t>
      </w:r>
    </w:p>
    <w:p>
      <w:pPr>
        <w:pStyle w:val="BodyText"/>
        <w:ind w:left="259" w:hanging="259"/>
      </w:pPr>
      <w:r>
        <w:rPr>
          <w:b/>
          <w:color w:val="18324A"/>
        </w:rPr>
        <w:t xml:space="preserve">2  Both AI components run  </w:t>
      </w:r>
      <w:r>
        <w:t>DenseNet produces an opacity screening probability and YOLO identifies candidate regions.</w:t>
      </w:r>
    </w:p>
    <w:p>
      <w:pPr>
        <w:pStyle w:val="BodyText"/>
        <w:ind w:left="259" w:hanging="259"/>
      </w:pPr>
      <w:r>
        <w:rPr>
          <w:b/>
          <w:color w:val="18324A"/>
        </w:rPr>
        <w:t xml:space="preserve">3  Signals are normalised  </w:t>
      </w:r>
      <w:r>
        <w:t>Configured thresholds convert each output into a positive or absent screening signal.</w:t>
      </w:r>
    </w:p>
    <w:p>
      <w:pPr>
        <w:pStyle w:val="BodyText"/>
        <w:ind w:left="259" w:hanging="259"/>
      </w:pPr>
      <w:r>
        <w:rPr>
          <w:b/>
          <w:color w:val="18324A"/>
        </w:rPr>
        <w:t xml:space="preserve">4  Decision service assigns category  </w:t>
      </w:r>
      <w:r>
        <w:t>The fixed rule produces High Priority, Review Flag, or Routine.</w:t>
      </w:r>
    </w:p>
    <w:p>
      <w:pPr>
        <w:pStyle w:val="BodyText"/>
        <w:ind w:left="259" w:hanging="259"/>
      </w:pPr>
      <w:r>
        <w:rPr>
          <w:b/>
          <w:color w:val="18324A"/>
        </w:rPr>
        <w:t xml:space="preserve">5  Worklist sorts studies  </w:t>
      </w:r>
      <w:r>
        <w:t>Unread studies appear first; within each group, High Priority precedes Review Flag and Routine; probability breaks ties.</w:t>
      </w:r>
    </w:p>
    <w:p>
      <w:pPr>
        <w:pStyle w:val="BodyText"/>
        <w:ind w:left="259" w:hanging="259"/>
      </w:pPr>
      <w:r>
        <w:rPr>
          <w:b/>
          <w:color w:val="18324A"/>
        </w:rPr>
        <w:t xml:space="preserve">6  Radiologist reviews  </w:t>
      </w:r>
      <w:r>
        <w:t>The reader sees the image, highlighted regions, screening values, patient context, and reason for the category.</w:t>
      </w:r>
    </w:p>
    <w:p>
      <w:pPr>
        <w:pStyle w:val="BodyText"/>
        <w:ind w:left="259" w:hanging="259"/>
      </w:pPr>
      <w:r>
        <w:rPr>
          <w:b/>
          <w:color w:val="18324A"/>
        </w:rPr>
        <w:t xml:space="preserve">7  Review outcome is recorded  </w:t>
      </w:r>
      <w:r>
        <w:t>The radiologist confirms or changes the clinical interpretation; the AI category remains an auditable triage input.</w:t>
      </w:r>
    </w:p>
    <w:p>
      <w:pPr>
        <w:keepNext/>
        <w:jc w:val="center"/>
      </w:pPr>
      <w:r>
        <w:drawing>
          <wp:inline xmlns:a="http://schemas.openxmlformats.org/drawingml/2006/main" xmlns:pic="http://schemas.openxmlformats.org/drawingml/2006/picture">
            <wp:extent cx="5669280" cy="4317694"/>
            <wp:docPr id="1" name="Picture 1" descr="Figure 1  The wider workflow supporting triage prioritisation" title="Figure 1  The wider workflow supporting triage prioritisation"/>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4317694"/>
                    </a:xfrm>
                    <a:prstGeom prst="rect"/>
                  </pic:spPr>
                </pic:pic>
              </a:graphicData>
            </a:graphic>
          </wp:inline>
        </w:drawing>
      </w:r>
    </w:p>
    <w:p>
      <w:pPr>
        <w:pStyle w:val="Caption"/>
        <w:jc w:val="center"/>
      </w:pPr>
      <w:r>
        <w:t>Figure 1  The wider workflow supporting triage prioritisation</w:t>
      </w:r>
    </w:p>
    <w:p>
      <w:pPr>
        <w:pStyle w:val="Heading1"/>
        <w:keepNext/>
        <w:pageBreakBefore/>
      </w:pPr>
      <w:r>
        <w:t>AI Decision Logic</w:t>
      </w:r>
    </w:p>
    <w:p>
      <w:pPr>
        <w:pStyle w:val="BodyText"/>
      </w:pPr>
      <w:r>
        <w:t>The decision is deterministic. It does not use a language model and does not infer a diagnosis. DenseNet is positive when its screening probability is at or above 0.20. YOLO is positive when at least one candidate region is at or above 0.10 confidence.</w:t>
      </w:r>
    </w:p>
    <w:p>
      <w:pPr>
        <w:keepNext/>
        <w:jc w:val="center"/>
      </w:pPr>
      <w:r>
        <w:drawing>
          <wp:inline xmlns:a="http://schemas.openxmlformats.org/drawingml/2006/main" xmlns:pic="http://schemas.openxmlformats.org/drawingml/2006/picture">
            <wp:extent cx="5715000" cy="2936759"/>
            <wp:docPr id="2" name="Picture 2" descr="Figure 2  How two screening signals produce a worklist category" title="Figure 2  How two screening signals produce a worklist category"/>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15000" cy="2936759"/>
                    </a:xfrm>
                    <a:prstGeom prst="rect"/>
                  </pic:spPr>
                </pic:pic>
              </a:graphicData>
            </a:graphic>
          </wp:inline>
        </w:drawing>
      </w:r>
    </w:p>
    <w:p>
      <w:pPr>
        <w:pStyle w:val="Caption"/>
        <w:jc w:val="center"/>
      </w:pPr>
      <w:r>
        <w:t>Figure 2  How two screening signals produce a worklist category</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2498"/>
        <w:gridCol w:w="2498"/>
        <w:gridCol w:w="2498"/>
        <w:gridCol w:w="2498"/>
      </w:tblGrid>
      <w:tr>
        <w:trPr>
          <w:tblHeader w:val="true"/>
        </w:trPr>
        <w:tc>
          <w:tcPr>
            <w:tcW w:type="dxa" w:w="1728"/>
            <w:shd w:fill="18324A"/>
            <w:tcMar>
              <w:top w:w="105" w:type="dxa"/>
              <w:start w:w="125" w:type="dxa"/>
              <w:bottom w:w="105" w:type="dxa"/>
              <w:end w:w="125" w:type="dxa"/>
            </w:tcMar>
            <w:vAlign w:val="center"/>
          </w:tcPr>
          <w:p>
            <w:pPr>
              <w:jc w:val="center"/>
            </w:pPr>
            <w:r>
              <w:rPr>
                <w:b/>
                <w:color w:val="FFFFFF"/>
                <w:sz w:val="16"/>
              </w:rPr>
              <w:t>DenseNet</w:t>
            </w:r>
          </w:p>
        </w:tc>
        <w:tc>
          <w:tcPr>
            <w:tcW w:type="dxa" w:w="1584"/>
            <w:shd w:fill="18324A"/>
            <w:tcMar>
              <w:top w:w="105" w:type="dxa"/>
              <w:start w:w="125" w:type="dxa"/>
              <w:bottom w:w="105" w:type="dxa"/>
              <w:end w:w="125" w:type="dxa"/>
            </w:tcMar>
            <w:vAlign w:val="center"/>
          </w:tcPr>
          <w:p>
            <w:pPr>
              <w:jc w:val="center"/>
            </w:pPr>
            <w:r>
              <w:rPr>
                <w:b/>
                <w:color w:val="FFFFFF"/>
                <w:sz w:val="16"/>
              </w:rPr>
              <w:t>YOLO</w:t>
            </w:r>
          </w:p>
        </w:tc>
        <w:tc>
          <w:tcPr>
            <w:tcW w:type="dxa" w:w="1944"/>
            <w:shd w:fill="18324A"/>
            <w:tcMar>
              <w:top w:w="105" w:type="dxa"/>
              <w:start w:w="125" w:type="dxa"/>
              <w:bottom w:w="105" w:type="dxa"/>
              <w:end w:w="125" w:type="dxa"/>
            </w:tcMar>
            <w:vAlign w:val="center"/>
          </w:tcPr>
          <w:p>
            <w:pPr>
              <w:jc w:val="center"/>
            </w:pPr>
            <w:r>
              <w:rPr>
                <w:b/>
                <w:color w:val="FFFFFF"/>
                <w:sz w:val="16"/>
              </w:rPr>
              <w:t>Category</w:t>
            </w:r>
          </w:p>
        </w:tc>
        <w:tc>
          <w:tcPr>
            <w:tcW w:type="dxa" w:w="4320"/>
            <w:shd w:fill="18324A"/>
            <w:tcMar>
              <w:top w:w="105" w:type="dxa"/>
              <w:start w:w="125" w:type="dxa"/>
              <w:bottom w:w="105" w:type="dxa"/>
              <w:end w:w="125" w:type="dxa"/>
            </w:tcMar>
            <w:vAlign w:val="center"/>
          </w:tcPr>
          <w:p>
            <w:pPr>
              <w:jc w:val="center"/>
            </w:pPr>
            <w:r>
              <w:rPr>
                <w:b/>
                <w:color w:val="FFFFFF"/>
                <w:sz w:val="16"/>
              </w:rPr>
              <w:t>Meaning in the queue</w:t>
            </w:r>
          </w:p>
        </w:tc>
      </w:tr>
      <w:tr>
        <w:tc>
          <w:tcPr>
            <w:tcW w:type="dxa" w:w="1728"/>
            <w:tcMar>
              <w:top w:w="105" w:type="dxa"/>
              <w:start w:w="125" w:type="dxa"/>
              <w:bottom w:w="105" w:type="dxa"/>
              <w:end w:w="125" w:type="dxa"/>
            </w:tcMar>
            <w:vAlign w:val="center"/>
          </w:tcPr>
          <w:p>
            <w:pPr>
              <w:spacing w:after="0" w:line="252" w:lineRule="auto"/>
            </w:pPr>
            <w:r>
              <w:rPr>
                <w:sz w:val="16"/>
              </w:rPr>
              <w:t>Positive</w:t>
            </w:r>
          </w:p>
        </w:tc>
        <w:tc>
          <w:tcPr>
            <w:tcW w:type="dxa" w:w="1584"/>
            <w:tcMar>
              <w:top w:w="105" w:type="dxa"/>
              <w:start w:w="125" w:type="dxa"/>
              <w:bottom w:w="105" w:type="dxa"/>
              <w:end w:w="125" w:type="dxa"/>
            </w:tcMar>
            <w:vAlign w:val="center"/>
          </w:tcPr>
          <w:p>
            <w:pPr>
              <w:spacing w:after="0" w:line="252" w:lineRule="auto"/>
            </w:pPr>
            <w:r>
              <w:rPr>
                <w:sz w:val="16"/>
              </w:rPr>
              <w:t>Present</w:t>
            </w:r>
          </w:p>
        </w:tc>
        <w:tc>
          <w:tcPr>
            <w:tcW w:type="dxa" w:w="1944"/>
            <w:tcMar>
              <w:top w:w="105" w:type="dxa"/>
              <w:start w:w="125" w:type="dxa"/>
              <w:bottom w:w="105" w:type="dxa"/>
              <w:end w:w="125" w:type="dxa"/>
            </w:tcMar>
            <w:vAlign w:val="center"/>
          </w:tcPr>
          <w:p>
            <w:pPr>
              <w:spacing w:after="0" w:line="252" w:lineRule="auto"/>
            </w:pPr>
            <w:r>
              <w:rPr>
                <w:sz w:val="16"/>
              </w:rPr>
              <w:t>High Priority</w:t>
            </w:r>
          </w:p>
        </w:tc>
        <w:tc>
          <w:tcPr>
            <w:tcW w:type="dxa" w:w="4320"/>
            <w:tcMar>
              <w:top w:w="105" w:type="dxa"/>
              <w:start w:w="125" w:type="dxa"/>
              <w:bottom w:w="105" w:type="dxa"/>
              <w:end w:w="125" w:type="dxa"/>
            </w:tcMar>
            <w:vAlign w:val="center"/>
          </w:tcPr>
          <w:p>
            <w:pPr>
              <w:spacing w:after="0" w:line="252" w:lineRule="auto"/>
            </w:pPr>
            <w:r>
              <w:rPr>
                <w:sz w:val="16"/>
              </w:rPr>
              <w:t>Both signals support earlier attention; prompt review is recommended.</w:t>
            </w:r>
          </w:p>
        </w:tc>
      </w:tr>
      <w:tr>
        <w:tc>
          <w:tcPr>
            <w:tcW w:type="dxa" w:w="1728"/>
            <w:tcMar>
              <w:top w:w="105" w:type="dxa"/>
              <w:start w:w="125" w:type="dxa"/>
              <w:bottom w:w="105" w:type="dxa"/>
              <w:end w:w="125" w:type="dxa"/>
            </w:tcMar>
            <w:vAlign w:val="center"/>
            <w:shd w:fill="F5F8FA"/>
          </w:tcPr>
          <w:p>
            <w:pPr>
              <w:spacing w:after="0" w:line="252" w:lineRule="auto"/>
            </w:pPr>
            <w:r>
              <w:rPr>
                <w:sz w:val="16"/>
              </w:rPr>
              <w:t>Positive</w:t>
            </w:r>
          </w:p>
        </w:tc>
        <w:tc>
          <w:tcPr>
            <w:tcW w:type="dxa" w:w="1584"/>
            <w:tcMar>
              <w:top w:w="105" w:type="dxa"/>
              <w:start w:w="125" w:type="dxa"/>
              <w:bottom w:w="105" w:type="dxa"/>
              <w:end w:w="125" w:type="dxa"/>
            </w:tcMar>
            <w:vAlign w:val="center"/>
            <w:shd w:fill="F5F8FA"/>
          </w:tcPr>
          <w:p>
            <w:pPr>
              <w:spacing w:after="0" w:line="252" w:lineRule="auto"/>
            </w:pPr>
            <w:r>
              <w:rPr>
                <w:sz w:val="16"/>
              </w:rPr>
              <w:t>Absent</w:t>
            </w:r>
          </w:p>
        </w:tc>
        <w:tc>
          <w:tcPr>
            <w:tcW w:type="dxa" w:w="1944"/>
            <w:tcMar>
              <w:top w:w="105" w:type="dxa"/>
              <w:start w:w="125" w:type="dxa"/>
              <w:bottom w:w="105" w:type="dxa"/>
              <w:end w:w="125" w:type="dxa"/>
            </w:tcMar>
            <w:vAlign w:val="center"/>
            <w:shd w:fill="F5F8FA"/>
          </w:tcPr>
          <w:p>
            <w:pPr>
              <w:spacing w:after="0" w:line="252" w:lineRule="auto"/>
            </w:pPr>
            <w:r>
              <w:rPr>
                <w:sz w:val="16"/>
              </w:rPr>
              <w:t>Review Flag</w:t>
            </w:r>
          </w:p>
        </w:tc>
        <w:tc>
          <w:tcPr>
            <w:tcW w:type="dxa" w:w="4320"/>
            <w:tcMar>
              <w:top w:w="105" w:type="dxa"/>
              <w:start w:w="125" w:type="dxa"/>
              <w:bottom w:w="105" w:type="dxa"/>
              <w:end w:w="125" w:type="dxa"/>
            </w:tcMar>
            <w:vAlign w:val="center"/>
            <w:shd w:fill="F5F8FA"/>
          </w:tcPr>
          <w:p>
            <w:pPr>
              <w:spacing w:after="0" w:line="252" w:lineRule="auto"/>
            </w:pPr>
            <w:r>
              <w:rPr>
                <w:sz w:val="16"/>
              </w:rPr>
              <w:t>The screening index is elevated without a qualifying localised region.</w:t>
            </w:r>
          </w:p>
        </w:tc>
      </w:tr>
      <w:tr>
        <w:tc>
          <w:tcPr>
            <w:tcW w:type="dxa" w:w="1728"/>
            <w:tcMar>
              <w:top w:w="105" w:type="dxa"/>
              <w:start w:w="125" w:type="dxa"/>
              <w:bottom w:w="105" w:type="dxa"/>
              <w:end w:w="125" w:type="dxa"/>
            </w:tcMar>
            <w:vAlign w:val="center"/>
          </w:tcPr>
          <w:p>
            <w:pPr>
              <w:spacing w:after="0" w:line="252" w:lineRule="auto"/>
            </w:pPr>
            <w:r>
              <w:rPr>
                <w:sz w:val="16"/>
              </w:rPr>
              <w:t>Absent</w:t>
            </w:r>
          </w:p>
        </w:tc>
        <w:tc>
          <w:tcPr>
            <w:tcW w:type="dxa" w:w="1584"/>
            <w:tcMar>
              <w:top w:w="105" w:type="dxa"/>
              <w:start w:w="125" w:type="dxa"/>
              <w:bottom w:w="105" w:type="dxa"/>
              <w:end w:w="125" w:type="dxa"/>
            </w:tcMar>
            <w:vAlign w:val="center"/>
          </w:tcPr>
          <w:p>
            <w:pPr>
              <w:spacing w:after="0" w:line="252" w:lineRule="auto"/>
            </w:pPr>
            <w:r>
              <w:rPr>
                <w:sz w:val="16"/>
              </w:rPr>
              <w:t>Present</w:t>
            </w:r>
          </w:p>
        </w:tc>
        <w:tc>
          <w:tcPr>
            <w:tcW w:type="dxa" w:w="1944"/>
            <w:tcMar>
              <w:top w:w="105" w:type="dxa"/>
              <w:start w:w="125" w:type="dxa"/>
              <w:bottom w:w="105" w:type="dxa"/>
              <w:end w:w="125" w:type="dxa"/>
            </w:tcMar>
            <w:vAlign w:val="center"/>
          </w:tcPr>
          <w:p>
            <w:pPr>
              <w:spacing w:after="0" w:line="252" w:lineRule="auto"/>
            </w:pPr>
            <w:r>
              <w:rPr>
                <w:sz w:val="16"/>
              </w:rPr>
              <w:t>Review Flag</w:t>
            </w:r>
          </w:p>
        </w:tc>
        <w:tc>
          <w:tcPr>
            <w:tcW w:type="dxa" w:w="4320"/>
            <w:tcMar>
              <w:top w:w="105" w:type="dxa"/>
              <w:start w:w="125" w:type="dxa"/>
              <w:bottom w:w="105" w:type="dxa"/>
              <w:end w:w="125" w:type="dxa"/>
            </w:tcMar>
            <w:vAlign w:val="center"/>
          </w:tcPr>
          <w:p>
            <w:pPr>
              <w:spacing w:after="0" w:line="252" w:lineRule="auto"/>
            </w:pPr>
            <w:r>
              <w:rPr>
                <w:sz w:val="16"/>
              </w:rPr>
              <w:t>A qualifying region is localised despite a baseline classification score.</w:t>
            </w:r>
          </w:p>
        </w:tc>
      </w:tr>
      <w:tr>
        <w:tc>
          <w:tcPr>
            <w:tcW w:type="dxa" w:w="1728"/>
            <w:tcMar>
              <w:top w:w="105" w:type="dxa"/>
              <w:start w:w="125" w:type="dxa"/>
              <w:bottom w:w="105" w:type="dxa"/>
              <w:end w:w="125" w:type="dxa"/>
            </w:tcMar>
            <w:vAlign w:val="center"/>
            <w:shd w:fill="F5F8FA"/>
          </w:tcPr>
          <w:p>
            <w:pPr>
              <w:spacing w:after="0" w:line="252" w:lineRule="auto"/>
            </w:pPr>
            <w:r>
              <w:rPr>
                <w:sz w:val="16"/>
              </w:rPr>
              <w:t>Absent</w:t>
            </w:r>
          </w:p>
        </w:tc>
        <w:tc>
          <w:tcPr>
            <w:tcW w:type="dxa" w:w="1584"/>
            <w:tcMar>
              <w:top w:w="105" w:type="dxa"/>
              <w:start w:w="125" w:type="dxa"/>
              <w:bottom w:w="105" w:type="dxa"/>
              <w:end w:w="125" w:type="dxa"/>
            </w:tcMar>
            <w:vAlign w:val="center"/>
            <w:shd w:fill="F5F8FA"/>
          </w:tcPr>
          <w:p>
            <w:pPr>
              <w:spacing w:after="0" w:line="252" w:lineRule="auto"/>
            </w:pPr>
            <w:r>
              <w:rPr>
                <w:sz w:val="16"/>
              </w:rPr>
              <w:t>Absent</w:t>
            </w:r>
          </w:p>
        </w:tc>
        <w:tc>
          <w:tcPr>
            <w:tcW w:type="dxa" w:w="1944"/>
            <w:tcMar>
              <w:top w:w="105" w:type="dxa"/>
              <w:start w:w="125" w:type="dxa"/>
              <w:bottom w:w="105" w:type="dxa"/>
              <w:end w:w="125" w:type="dxa"/>
            </w:tcMar>
            <w:vAlign w:val="center"/>
            <w:shd w:fill="F5F8FA"/>
          </w:tcPr>
          <w:p>
            <w:pPr>
              <w:spacing w:after="0" w:line="252" w:lineRule="auto"/>
            </w:pPr>
            <w:r>
              <w:rPr>
                <w:sz w:val="16"/>
              </w:rPr>
              <w:t>Routine</w:t>
            </w:r>
          </w:p>
        </w:tc>
        <w:tc>
          <w:tcPr>
            <w:tcW w:type="dxa" w:w="4320"/>
            <w:tcMar>
              <w:top w:w="105" w:type="dxa"/>
              <w:start w:w="125" w:type="dxa"/>
              <w:bottom w:w="105" w:type="dxa"/>
              <w:end w:w="125" w:type="dxa"/>
            </w:tcMar>
            <w:vAlign w:val="center"/>
            <w:shd w:fill="F5F8FA"/>
          </w:tcPr>
          <w:p>
            <w:pPr>
              <w:spacing w:after="0" w:line="252" w:lineRule="auto"/>
            </w:pPr>
            <w:r>
              <w:rPr>
                <w:sz w:val="16"/>
              </w:rPr>
              <w:t>No screening signal is detected; routine radiologist interpretation remains required.</w:t>
            </w:r>
          </w:p>
        </w:tc>
      </w:tr>
    </w:tbl>
    <w:p>
      <w:pPr>
        <w:spacing w:after="0"/>
      </w:pPr>
    </w:p>
    <w:p>
      <w:pPr>
        <w:pStyle w:val="Heading1"/>
        <w:keepNext/>
        <w:pageBreakBefore/>
      </w:pPr>
      <w:r>
        <w:t>Worklist Behaviour</w:t>
      </w:r>
    </w:p>
    <w:p>
      <w:pPr>
        <w:pStyle w:val="BodyText"/>
      </w:pPr>
      <w:r>
        <w:t>The worklist turns the category into an operational sequence. It does not change the category after a study is viewed; it changes only where the study appears so pending work remains visible.</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3331"/>
        <w:gridCol w:w="3331"/>
        <w:gridCol w:w="3331"/>
      </w:tblGrid>
      <w:tr>
        <w:trPr>
          <w:tblHeader w:val="true"/>
        </w:trPr>
        <w:tc>
          <w:tcPr>
            <w:tcW w:type="dxa" w:w="1944"/>
            <w:shd w:fill="18324A"/>
            <w:tcMar>
              <w:top w:w="105" w:type="dxa"/>
              <w:start w:w="125" w:type="dxa"/>
              <w:bottom w:w="105" w:type="dxa"/>
              <w:end w:w="125" w:type="dxa"/>
            </w:tcMar>
            <w:vAlign w:val="center"/>
          </w:tcPr>
          <w:p>
            <w:pPr>
              <w:jc w:val="center"/>
            </w:pPr>
            <w:r>
              <w:rPr>
                <w:b/>
                <w:color w:val="FFFFFF"/>
                <w:sz w:val="17"/>
              </w:rPr>
              <w:t>Sort level</w:t>
            </w:r>
          </w:p>
        </w:tc>
        <w:tc>
          <w:tcPr>
            <w:tcW w:type="dxa" w:w="3672"/>
            <w:shd w:fill="18324A"/>
            <w:tcMar>
              <w:top w:w="105" w:type="dxa"/>
              <w:start w:w="125" w:type="dxa"/>
              <w:bottom w:w="105" w:type="dxa"/>
              <w:end w:w="125" w:type="dxa"/>
            </w:tcMar>
            <w:vAlign w:val="center"/>
          </w:tcPr>
          <w:p>
            <w:pPr>
              <w:jc w:val="center"/>
            </w:pPr>
            <w:r>
              <w:rPr>
                <w:b/>
                <w:color w:val="FFFFFF"/>
                <w:sz w:val="17"/>
              </w:rPr>
              <w:t>Rule</w:t>
            </w:r>
          </w:p>
        </w:tc>
        <w:tc>
          <w:tcPr>
            <w:tcW w:type="dxa" w:w="4104"/>
            <w:shd w:fill="18324A"/>
            <w:tcMar>
              <w:top w:w="105" w:type="dxa"/>
              <w:start w:w="125" w:type="dxa"/>
              <w:bottom w:w="105" w:type="dxa"/>
              <w:end w:w="125" w:type="dxa"/>
            </w:tcMar>
            <w:vAlign w:val="center"/>
          </w:tcPr>
          <w:p>
            <w:pPr>
              <w:jc w:val="center"/>
            </w:pPr>
            <w:r>
              <w:rPr>
                <w:b/>
                <w:color w:val="FFFFFF"/>
                <w:sz w:val="17"/>
              </w:rPr>
              <w:t>Purpose</w:t>
            </w:r>
          </w:p>
        </w:tc>
      </w:tr>
      <w:tr>
        <w:tc>
          <w:tcPr>
            <w:tcW w:type="dxa" w:w="1944"/>
            <w:tcMar>
              <w:top w:w="105" w:type="dxa"/>
              <w:start w:w="125" w:type="dxa"/>
              <w:bottom w:w="105" w:type="dxa"/>
              <w:end w:w="125" w:type="dxa"/>
            </w:tcMar>
            <w:vAlign w:val="center"/>
          </w:tcPr>
          <w:p>
            <w:pPr>
              <w:spacing w:after="0" w:line="252" w:lineRule="auto"/>
            </w:pPr>
            <w:r>
              <w:rPr>
                <w:sz w:val="17"/>
              </w:rPr>
              <w:t>1  Review state</w:t>
            </w:r>
          </w:p>
        </w:tc>
        <w:tc>
          <w:tcPr>
            <w:tcW w:type="dxa" w:w="3672"/>
            <w:tcMar>
              <w:top w:w="105" w:type="dxa"/>
              <w:start w:w="125" w:type="dxa"/>
              <w:bottom w:w="105" w:type="dxa"/>
              <w:end w:w="125" w:type="dxa"/>
            </w:tcMar>
            <w:vAlign w:val="center"/>
          </w:tcPr>
          <w:p>
            <w:pPr>
              <w:spacing w:after="0" w:line="252" w:lineRule="auto"/>
            </w:pPr>
            <w:r>
              <w:rPr>
                <w:sz w:val="17"/>
              </w:rPr>
              <w:t>Unread before viewed</w:t>
            </w:r>
          </w:p>
        </w:tc>
        <w:tc>
          <w:tcPr>
            <w:tcW w:type="dxa" w:w="4104"/>
            <w:tcMar>
              <w:top w:w="105" w:type="dxa"/>
              <w:start w:w="125" w:type="dxa"/>
              <w:bottom w:w="105" w:type="dxa"/>
              <w:end w:w="125" w:type="dxa"/>
            </w:tcMar>
            <w:vAlign w:val="center"/>
          </w:tcPr>
          <w:p>
            <w:pPr>
              <w:spacing w:after="0" w:line="252" w:lineRule="auto"/>
            </w:pPr>
            <w:r>
              <w:rPr>
                <w:sz w:val="17"/>
              </w:rPr>
              <w:t>Keep pending studies visible.</w:t>
            </w:r>
          </w:p>
        </w:tc>
      </w:tr>
      <w:tr>
        <w:tc>
          <w:tcPr>
            <w:tcW w:type="dxa" w:w="1944"/>
            <w:tcMar>
              <w:top w:w="105" w:type="dxa"/>
              <w:start w:w="125" w:type="dxa"/>
              <w:bottom w:w="105" w:type="dxa"/>
              <w:end w:w="125" w:type="dxa"/>
            </w:tcMar>
            <w:vAlign w:val="center"/>
            <w:shd w:fill="F5F8FA"/>
          </w:tcPr>
          <w:p>
            <w:pPr>
              <w:spacing w:after="0" w:line="252" w:lineRule="auto"/>
            </w:pPr>
            <w:r>
              <w:rPr>
                <w:sz w:val="17"/>
              </w:rPr>
              <w:t>2  Triage category</w:t>
            </w:r>
          </w:p>
        </w:tc>
        <w:tc>
          <w:tcPr>
            <w:tcW w:type="dxa" w:w="3672"/>
            <w:tcMar>
              <w:top w:w="105" w:type="dxa"/>
              <w:start w:w="125" w:type="dxa"/>
              <w:bottom w:w="105" w:type="dxa"/>
              <w:end w:w="125" w:type="dxa"/>
            </w:tcMar>
            <w:vAlign w:val="center"/>
            <w:shd w:fill="F5F8FA"/>
          </w:tcPr>
          <w:p>
            <w:pPr>
              <w:spacing w:after="0" w:line="252" w:lineRule="auto"/>
            </w:pPr>
            <w:r>
              <w:rPr>
                <w:sz w:val="17"/>
              </w:rPr>
              <w:t>High Priority, then Review Flag, then Routine</w:t>
            </w:r>
          </w:p>
        </w:tc>
        <w:tc>
          <w:tcPr>
            <w:tcW w:type="dxa" w:w="4104"/>
            <w:tcMar>
              <w:top w:w="105" w:type="dxa"/>
              <w:start w:w="125" w:type="dxa"/>
              <w:bottom w:w="105" w:type="dxa"/>
              <w:end w:w="125" w:type="dxa"/>
            </w:tcMar>
            <w:vAlign w:val="center"/>
            <w:shd w:fill="F5F8FA"/>
          </w:tcPr>
          <w:p>
            <w:pPr>
              <w:spacing w:after="0" w:line="252" w:lineRule="auto"/>
            </w:pPr>
            <w:r>
              <w:rPr>
                <w:sz w:val="17"/>
              </w:rPr>
              <w:t>Place studies with stronger screening signals earlier.</w:t>
            </w:r>
          </w:p>
        </w:tc>
      </w:tr>
      <w:tr>
        <w:tc>
          <w:tcPr>
            <w:tcW w:type="dxa" w:w="1944"/>
            <w:tcMar>
              <w:top w:w="105" w:type="dxa"/>
              <w:start w:w="125" w:type="dxa"/>
              <w:bottom w:w="105" w:type="dxa"/>
              <w:end w:w="125" w:type="dxa"/>
            </w:tcMar>
            <w:vAlign w:val="center"/>
          </w:tcPr>
          <w:p>
            <w:pPr>
              <w:spacing w:after="0" w:line="252" w:lineRule="auto"/>
            </w:pPr>
            <w:r>
              <w:rPr>
                <w:sz w:val="17"/>
              </w:rPr>
              <w:t>3  Screening probability</w:t>
            </w:r>
          </w:p>
        </w:tc>
        <w:tc>
          <w:tcPr>
            <w:tcW w:type="dxa" w:w="3672"/>
            <w:tcMar>
              <w:top w:w="105" w:type="dxa"/>
              <w:start w:w="125" w:type="dxa"/>
              <w:bottom w:w="105" w:type="dxa"/>
              <w:end w:w="125" w:type="dxa"/>
            </w:tcMar>
            <w:vAlign w:val="center"/>
          </w:tcPr>
          <w:p>
            <w:pPr>
              <w:spacing w:after="0" w:line="252" w:lineRule="auto"/>
            </w:pPr>
            <w:r>
              <w:rPr>
                <w:sz w:val="17"/>
              </w:rPr>
              <w:t>Higher DenseNet probability first within the category</w:t>
            </w:r>
          </w:p>
        </w:tc>
        <w:tc>
          <w:tcPr>
            <w:tcW w:type="dxa" w:w="4104"/>
            <w:tcMar>
              <w:top w:w="105" w:type="dxa"/>
              <w:start w:w="125" w:type="dxa"/>
              <w:bottom w:w="105" w:type="dxa"/>
              <w:end w:w="125" w:type="dxa"/>
            </w:tcMar>
            <w:vAlign w:val="center"/>
          </w:tcPr>
          <w:p>
            <w:pPr>
              <w:spacing w:after="0" w:line="252" w:lineRule="auto"/>
            </w:pPr>
            <w:r>
              <w:rPr>
                <w:sz w:val="17"/>
              </w:rPr>
              <w:t>Provide stable ordering among similar studies.</w:t>
            </w:r>
          </w:p>
        </w:tc>
      </w:tr>
    </w:tbl>
    <w:p>
      <w:pPr>
        <w:spacing w:after="0"/>
      </w:pPr>
    </w:p>
    <w:p>
      <w:pPr>
        <w:keepNext/>
        <w:jc w:val="center"/>
      </w:pPr>
      <w:r>
        <w:drawing>
          <wp:inline xmlns:a="http://schemas.openxmlformats.org/drawingml/2006/main" xmlns:pic="http://schemas.openxmlformats.org/drawingml/2006/picture">
            <wp:extent cx="5806440" cy="2983586"/>
            <wp:docPr id="3" name="Picture 3" descr="Figure 3  AI worklist showing priority categories and review state" title="Figure 3  AI worklist showing priority categories and review state"/>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806440" cy="2983586"/>
                    </a:xfrm>
                    <a:prstGeom prst="rect"/>
                  </pic:spPr>
                </pic:pic>
              </a:graphicData>
            </a:graphic>
          </wp:inline>
        </w:drawing>
      </w:r>
    </w:p>
    <w:p>
      <w:pPr>
        <w:pStyle w:val="Caption"/>
        <w:jc w:val="center"/>
      </w:pPr>
      <w:r>
        <w:t>Figure 3  AI worklist showing priority categories and review state</w:t>
      </w:r>
    </w:p>
    <w:p>
      <w:pPr>
        <w:pStyle w:val="Heading2"/>
        <w:keepNext/>
      </w:pPr>
      <w:r>
        <w:t>Information Available to the Radiologist</w:t>
      </w:r>
    </w:p>
    <w:p>
      <w:pPr>
        <w:pStyle w:val="ListBullet"/>
      </w:pPr>
      <w:r>
        <w:t>Triage category and screening probability.</w:t>
      </w:r>
    </w:p>
    <w:p>
      <w:pPr>
        <w:pStyle w:val="ListBullet"/>
      </w:pPr>
      <w:r>
        <w:t>Number of qualifying localised regions and highest region confidence.</w:t>
      </w:r>
    </w:p>
    <w:p>
      <w:pPr>
        <w:pStyle w:val="ListBullet"/>
      </w:pPr>
      <w:r>
        <w:t>Original image and annotated image for candidate-region review.</w:t>
      </w:r>
    </w:p>
    <w:p>
      <w:pPr>
        <w:pStyle w:val="ListBullet"/>
      </w:pPr>
      <w:r>
        <w:t>Patient, accession, requested view, modality, indication, and study timing.</w:t>
      </w:r>
    </w:p>
    <w:p>
      <w:pPr>
        <w:pStyle w:val="ListBullet"/>
      </w:pPr>
      <w:r>
        <w:t>Review status and access to the full medical image viewer.</w:t>
      </w:r>
    </w:p>
    <w:p>
      <w:pPr>
        <w:pStyle w:val="ListBullet"/>
      </w:pPr>
      <w:r>
        <w:t>A clear statement that AI output is screening support and not a clinical diagnosis.</w:t>
      </w:r>
    </w:p>
    <w:p>
      <w:pPr>
        <w:pStyle w:val="Heading1"/>
        <w:keepNext/>
        <w:pageBreakBefore/>
      </w:pPr>
      <w:r>
        <w:t>Clinical Safety Boundary</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97"/>
        <w:gridCol w:w="4997"/>
      </w:tblGrid>
      <w:tr>
        <w:trPr>
          <w:tblHeader w:val="true"/>
        </w:trPr>
        <w:tc>
          <w:tcPr>
            <w:tcW w:type="dxa" w:w="4752"/>
            <w:shd w:fill="18324A"/>
            <w:tcMar>
              <w:top w:w="105" w:type="dxa"/>
              <w:start w:w="125" w:type="dxa"/>
              <w:bottom w:w="105" w:type="dxa"/>
              <w:end w:w="125" w:type="dxa"/>
            </w:tcMar>
            <w:vAlign w:val="center"/>
          </w:tcPr>
          <w:p>
            <w:pPr>
              <w:jc w:val="center"/>
            </w:pPr>
            <w:r>
              <w:rPr>
                <w:b/>
                <w:color w:val="FFFFFF"/>
                <w:sz w:val="17"/>
              </w:rPr>
              <w:t>The assistant does</w:t>
            </w:r>
          </w:p>
        </w:tc>
        <w:tc>
          <w:tcPr>
            <w:tcW w:type="dxa" w:w="4896"/>
            <w:shd w:fill="18324A"/>
            <w:tcMar>
              <w:top w:w="105" w:type="dxa"/>
              <w:start w:w="125" w:type="dxa"/>
              <w:bottom w:w="105" w:type="dxa"/>
              <w:end w:w="125" w:type="dxa"/>
            </w:tcMar>
            <w:vAlign w:val="center"/>
          </w:tcPr>
          <w:p>
            <w:pPr>
              <w:jc w:val="center"/>
            </w:pPr>
            <w:r>
              <w:rPr>
                <w:b/>
                <w:color w:val="FFFFFF"/>
                <w:sz w:val="17"/>
              </w:rPr>
              <w:t>The assistant does not</w:t>
            </w:r>
          </w:p>
        </w:tc>
      </w:tr>
      <w:tr>
        <w:tc>
          <w:tcPr>
            <w:tcW w:type="dxa" w:w="4752"/>
            <w:tcMar>
              <w:top w:w="105" w:type="dxa"/>
              <w:start w:w="125" w:type="dxa"/>
              <w:bottom w:w="105" w:type="dxa"/>
              <w:end w:w="125" w:type="dxa"/>
            </w:tcMar>
            <w:vAlign w:val="center"/>
          </w:tcPr>
          <w:p>
            <w:pPr>
              <w:spacing w:after="0" w:line="252" w:lineRule="auto"/>
            </w:pPr>
            <w:r>
              <w:rPr>
                <w:sz w:val="17"/>
              </w:rPr>
              <w:t>Prioritises eligible studies in the worklist.</w:t>
            </w:r>
          </w:p>
        </w:tc>
        <w:tc>
          <w:tcPr>
            <w:tcW w:type="dxa" w:w="4896"/>
            <w:tcMar>
              <w:top w:w="105" w:type="dxa"/>
              <w:start w:w="125" w:type="dxa"/>
              <w:bottom w:w="105" w:type="dxa"/>
              <w:end w:w="125" w:type="dxa"/>
            </w:tcMar>
            <w:vAlign w:val="center"/>
          </w:tcPr>
          <w:p>
            <w:pPr>
              <w:spacing w:after="0" w:line="252" w:lineRule="auto"/>
            </w:pPr>
            <w:r>
              <w:rPr>
                <w:sz w:val="17"/>
              </w:rPr>
              <w:t>Diagnose disease or issue the final radiology report.</w:t>
            </w:r>
          </w:p>
        </w:tc>
      </w:tr>
      <w:tr>
        <w:tc>
          <w:tcPr>
            <w:tcW w:type="dxa" w:w="4752"/>
            <w:tcMar>
              <w:top w:w="105" w:type="dxa"/>
              <w:start w:w="125" w:type="dxa"/>
              <w:bottom w:w="105" w:type="dxa"/>
              <w:end w:w="125" w:type="dxa"/>
            </w:tcMar>
            <w:vAlign w:val="center"/>
            <w:shd w:fill="F5F8FA"/>
          </w:tcPr>
          <w:p>
            <w:pPr>
              <w:spacing w:after="0" w:line="252" w:lineRule="auto"/>
            </w:pPr>
            <w:r>
              <w:rPr>
                <w:sz w:val="17"/>
              </w:rPr>
              <w:t>Highlights candidate opacity regions.</w:t>
            </w:r>
          </w:p>
        </w:tc>
        <w:tc>
          <w:tcPr>
            <w:tcW w:type="dxa" w:w="4896"/>
            <w:tcMar>
              <w:top w:w="105" w:type="dxa"/>
              <w:start w:w="125" w:type="dxa"/>
              <w:bottom w:w="105" w:type="dxa"/>
              <w:end w:w="125" w:type="dxa"/>
            </w:tcMar>
            <w:vAlign w:val="center"/>
            <w:shd w:fill="F5F8FA"/>
          </w:tcPr>
          <w:p>
            <w:pPr>
              <w:spacing w:after="0" w:line="252" w:lineRule="auto"/>
            </w:pPr>
            <w:r>
              <w:rPr>
                <w:sz w:val="17"/>
              </w:rPr>
              <w:t>Confirm a critical result or replace image interpretation.</w:t>
            </w:r>
          </w:p>
        </w:tc>
      </w:tr>
      <w:tr>
        <w:tc>
          <w:tcPr>
            <w:tcW w:type="dxa" w:w="4752"/>
            <w:tcMar>
              <w:top w:w="105" w:type="dxa"/>
              <w:start w:w="125" w:type="dxa"/>
              <w:bottom w:w="105" w:type="dxa"/>
              <w:end w:w="125" w:type="dxa"/>
            </w:tcMar>
            <w:vAlign w:val="center"/>
          </w:tcPr>
          <w:p>
            <w:pPr>
              <w:spacing w:after="0" w:line="252" w:lineRule="auto"/>
            </w:pPr>
            <w:r>
              <w:rPr>
                <w:sz w:val="17"/>
              </w:rPr>
              <w:t>Explains which signals produced the category.</w:t>
            </w:r>
          </w:p>
        </w:tc>
        <w:tc>
          <w:tcPr>
            <w:tcW w:type="dxa" w:w="4896"/>
            <w:tcMar>
              <w:top w:w="105" w:type="dxa"/>
              <w:start w:w="125" w:type="dxa"/>
              <w:bottom w:w="105" w:type="dxa"/>
              <w:end w:w="125" w:type="dxa"/>
            </w:tcMar>
            <w:vAlign w:val="center"/>
          </w:tcPr>
          <w:p>
            <w:pPr>
              <w:spacing w:after="0" w:line="252" w:lineRule="auto"/>
            </w:pPr>
            <w:r>
              <w:rPr>
                <w:sz w:val="17"/>
              </w:rPr>
              <w:t>Page, text, or notify clinicians autonomously.</w:t>
            </w:r>
          </w:p>
        </w:tc>
      </w:tr>
      <w:tr>
        <w:tc>
          <w:tcPr>
            <w:tcW w:type="dxa" w:w="4752"/>
            <w:tcMar>
              <w:top w:w="105" w:type="dxa"/>
              <w:start w:w="125" w:type="dxa"/>
              <w:bottom w:w="105" w:type="dxa"/>
              <w:end w:w="125" w:type="dxa"/>
            </w:tcMar>
            <w:vAlign w:val="center"/>
            <w:shd w:fill="F5F8FA"/>
          </w:tcPr>
          <w:p>
            <w:pPr>
              <w:spacing w:after="0" w:line="252" w:lineRule="auto"/>
            </w:pPr>
            <w:r>
              <w:rPr>
                <w:sz w:val="17"/>
              </w:rPr>
              <w:t>Retains the category as part of the review context.</w:t>
            </w:r>
          </w:p>
        </w:tc>
        <w:tc>
          <w:tcPr>
            <w:tcW w:type="dxa" w:w="4896"/>
            <w:tcMar>
              <w:top w:w="105" w:type="dxa"/>
              <w:start w:w="125" w:type="dxa"/>
              <w:bottom w:w="105" w:type="dxa"/>
              <w:end w:w="125" w:type="dxa"/>
            </w:tcMar>
            <w:vAlign w:val="center"/>
            <w:shd w:fill="F5F8FA"/>
          </w:tcPr>
          <w:p>
            <w:pPr>
              <w:spacing w:after="0" w:line="252" w:lineRule="auto"/>
            </w:pPr>
            <w:r>
              <w:rPr>
                <w:sz w:val="17"/>
              </w:rPr>
              <w:t>Decide treatment, discharge, or escalation.</w:t>
            </w:r>
          </w:p>
        </w:tc>
      </w:tr>
      <w:tr>
        <w:tc>
          <w:tcPr>
            <w:tcW w:type="dxa" w:w="4752"/>
            <w:tcMar>
              <w:top w:w="105" w:type="dxa"/>
              <w:start w:w="125" w:type="dxa"/>
              <w:bottom w:w="105" w:type="dxa"/>
              <w:end w:w="125" w:type="dxa"/>
            </w:tcMar>
            <w:vAlign w:val="center"/>
          </w:tcPr>
          <w:p>
            <w:pPr>
              <w:spacing w:after="0" w:line="252" w:lineRule="auto"/>
            </w:pPr>
            <w:r>
              <w:rPr>
                <w:sz w:val="17"/>
              </w:rPr>
              <w:t>Supports measurement of queue performance.</w:t>
            </w:r>
          </w:p>
        </w:tc>
        <w:tc>
          <w:tcPr>
            <w:tcW w:type="dxa" w:w="4896"/>
            <w:tcMar>
              <w:top w:w="105" w:type="dxa"/>
              <w:start w:w="125" w:type="dxa"/>
              <w:bottom w:w="105" w:type="dxa"/>
              <w:end w:w="125" w:type="dxa"/>
            </w:tcMar>
            <w:vAlign w:val="center"/>
          </w:tcPr>
          <w:p>
            <w:pPr>
              <w:spacing w:after="0" w:line="252" w:lineRule="auto"/>
            </w:pPr>
            <w:r>
              <w:rPr>
                <w:sz w:val="17"/>
              </w:rPr>
              <w:t>Prove clinical effectiveness from development metrics alone.</w:t>
            </w:r>
          </w:p>
        </w:tc>
      </w:tr>
    </w:tbl>
    <w:p>
      <w:pPr>
        <w:spacing w:after="0"/>
      </w:pPr>
    </w:p>
    <w:p>
      <w:pPr>
        <w:pStyle w:val="Heading2"/>
        <w:keepNext/>
      </w:pPr>
      <w:r>
        <w:t>Controls That Protect the Triage Use Case</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97"/>
        <w:gridCol w:w="4997"/>
      </w:tblGrid>
      <w:tr>
        <w:trPr>
          <w:tblHeader w:val="true"/>
        </w:trPr>
        <w:tc>
          <w:tcPr>
            <w:tcW w:type="dxa" w:w="3744"/>
            <w:shd w:fill="18324A"/>
            <w:tcMar>
              <w:top w:w="105" w:type="dxa"/>
              <w:start w:w="125" w:type="dxa"/>
              <w:bottom w:w="105" w:type="dxa"/>
              <w:end w:w="125" w:type="dxa"/>
            </w:tcMar>
            <w:vAlign w:val="center"/>
          </w:tcPr>
          <w:p>
            <w:pPr>
              <w:jc w:val="center"/>
            </w:pPr>
            <w:r>
              <w:rPr>
                <w:b/>
                <w:color w:val="FFFFFF"/>
                <w:sz w:val="17"/>
              </w:rPr>
              <w:t>Control</w:t>
            </w:r>
          </w:p>
        </w:tc>
        <w:tc>
          <w:tcPr>
            <w:tcW w:type="dxa" w:w="5904"/>
            <w:shd w:fill="18324A"/>
            <w:tcMar>
              <w:top w:w="105" w:type="dxa"/>
              <w:start w:w="125" w:type="dxa"/>
              <w:bottom w:w="105" w:type="dxa"/>
              <w:end w:w="125" w:type="dxa"/>
            </w:tcMar>
            <w:vAlign w:val="center"/>
          </w:tcPr>
          <w:p>
            <w:pPr>
              <w:jc w:val="center"/>
            </w:pPr>
            <w:r>
              <w:rPr>
                <w:b/>
                <w:color w:val="FFFFFF"/>
                <w:sz w:val="17"/>
              </w:rPr>
              <w:t>Why it matters to prioritisation</w:t>
            </w:r>
          </w:p>
        </w:tc>
      </w:tr>
      <w:tr>
        <w:tc>
          <w:tcPr>
            <w:tcW w:type="dxa" w:w="3744"/>
            <w:tcMar>
              <w:top w:w="105" w:type="dxa"/>
              <w:start w:w="125" w:type="dxa"/>
              <w:bottom w:w="105" w:type="dxa"/>
              <w:end w:w="125" w:type="dxa"/>
            </w:tcMar>
            <w:vAlign w:val="center"/>
          </w:tcPr>
          <w:p>
            <w:pPr>
              <w:spacing w:after="0" w:line="252" w:lineRule="auto"/>
            </w:pPr>
            <w:r>
              <w:rPr>
                <w:sz w:val="17"/>
              </w:rPr>
              <w:t>Only order-linked eligible studies enter the patient worklist</w:t>
            </w:r>
          </w:p>
        </w:tc>
        <w:tc>
          <w:tcPr>
            <w:tcW w:type="dxa" w:w="5904"/>
            <w:tcMar>
              <w:top w:w="105" w:type="dxa"/>
              <w:start w:w="125" w:type="dxa"/>
              <w:bottom w:w="105" w:type="dxa"/>
              <w:end w:w="125" w:type="dxa"/>
            </w:tcMar>
            <w:vAlign w:val="center"/>
          </w:tcPr>
          <w:p>
            <w:pPr>
              <w:spacing w:after="0" w:line="252" w:lineRule="auto"/>
            </w:pPr>
            <w:r>
              <w:rPr>
                <w:sz w:val="17"/>
              </w:rPr>
              <w:t>Prevents unrelated PACS studies from receiving a clinical-looking priority.</w:t>
            </w:r>
          </w:p>
        </w:tc>
      </w:tr>
      <w:tr>
        <w:tc>
          <w:tcPr>
            <w:tcW w:type="dxa" w:w="3744"/>
            <w:tcMar>
              <w:top w:w="105" w:type="dxa"/>
              <w:start w:w="125" w:type="dxa"/>
              <w:bottom w:w="105" w:type="dxa"/>
              <w:end w:w="125" w:type="dxa"/>
            </w:tcMar>
            <w:vAlign w:val="center"/>
            <w:shd w:fill="F5F8FA"/>
          </w:tcPr>
          <w:p>
            <w:pPr>
              <w:spacing w:after="0" w:line="252" w:lineRule="auto"/>
            </w:pPr>
            <w:r>
              <w:rPr>
                <w:sz w:val="17"/>
              </w:rPr>
              <w:t>PA plus AP readiness waits for both requested views</w:t>
            </w:r>
          </w:p>
        </w:tc>
        <w:tc>
          <w:tcPr>
            <w:tcW w:type="dxa" w:w="5904"/>
            <w:tcMar>
              <w:top w:w="105" w:type="dxa"/>
              <w:start w:w="125" w:type="dxa"/>
              <w:bottom w:w="105" w:type="dxa"/>
              <w:end w:w="125" w:type="dxa"/>
            </w:tcMar>
            <w:vAlign w:val="center"/>
            <w:shd w:fill="F5F8FA"/>
          </w:tcPr>
          <w:p>
            <w:pPr>
              <w:spacing w:after="0" w:line="252" w:lineRule="auto"/>
            </w:pPr>
            <w:r>
              <w:rPr>
                <w:sz w:val="17"/>
              </w:rPr>
              <w:t>Avoids presenting an incomplete paired examination as ready.</w:t>
            </w:r>
          </w:p>
        </w:tc>
      </w:tr>
      <w:tr>
        <w:tc>
          <w:tcPr>
            <w:tcW w:type="dxa" w:w="3744"/>
            <w:tcMar>
              <w:top w:w="105" w:type="dxa"/>
              <w:start w:w="125" w:type="dxa"/>
              <w:bottom w:w="105" w:type="dxa"/>
              <w:end w:w="125" w:type="dxa"/>
            </w:tcMar>
            <w:vAlign w:val="center"/>
          </w:tcPr>
          <w:p>
            <w:pPr>
              <w:spacing w:after="0" w:line="252" w:lineRule="auto"/>
            </w:pPr>
            <w:r>
              <w:rPr>
                <w:sz w:val="17"/>
              </w:rPr>
              <w:t>Patient, accession, view, modality, and duplicate checks</w:t>
            </w:r>
          </w:p>
        </w:tc>
        <w:tc>
          <w:tcPr>
            <w:tcW w:type="dxa" w:w="5904"/>
            <w:tcMar>
              <w:top w:w="105" w:type="dxa"/>
              <w:start w:w="125" w:type="dxa"/>
              <w:bottom w:w="105" w:type="dxa"/>
              <w:end w:w="125" w:type="dxa"/>
            </w:tcMar>
            <w:vAlign w:val="center"/>
          </w:tcPr>
          <w:p>
            <w:pPr>
              <w:spacing w:after="0" w:line="252" w:lineRule="auto"/>
            </w:pPr>
            <w:r>
              <w:rPr>
                <w:sz w:val="17"/>
              </w:rPr>
              <w:t>Protects the relationship between the category and the intended examination.</w:t>
            </w:r>
          </w:p>
        </w:tc>
      </w:tr>
      <w:tr>
        <w:tc>
          <w:tcPr>
            <w:tcW w:type="dxa" w:w="3744"/>
            <w:tcMar>
              <w:top w:w="105" w:type="dxa"/>
              <w:start w:w="125" w:type="dxa"/>
              <w:bottom w:w="105" w:type="dxa"/>
              <w:end w:w="125" w:type="dxa"/>
            </w:tcMar>
            <w:vAlign w:val="center"/>
            <w:shd w:fill="F5F8FA"/>
          </w:tcPr>
          <w:p>
            <w:pPr>
              <w:spacing w:after="0" w:line="252" w:lineRule="auto"/>
            </w:pPr>
            <w:r>
              <w:rPr>
                <w:sz w:val="17"/>
              </w:rPr>
              <w:t>Radiologist review remains mandatory</w:t>
            </w:r>
          </w:p>
        </w:tc>
        <w:tc>
          <w:tcPr>
            <w:tcW w:type="dxa" w:w="5904"/>
            <w:tcMar>
              <w:top w:w="105" w:type="dxa"/>
              <w:start w:w="125" w:type="dxa"/>
              <w:bottom w:w="105" w:type="dxa"/>
              <w:end w:w="125" w:type="dxa"/>
            </w:tcMar>
            <w:vAlign w:val="center"/>
            <w:shd w:fill="F5F8FA"/>
          </w:tcPr>
          <w:p>
            <w:pPr>
              <w:spacing w:after="0" w:line="252" w:lineRule="auto"/>
            </w:pPr>
            <w:r>
              <w:rPr>
                <w:sz w:val="17"/>
              </w:rPr>
              <w:t>Prevents a queue label from becoming the clinical conclusion.</w:t>
            </w:r>
          </w:p>
        </w:tc>
      </w:tr>
      <w:tr>
        <w:tc>
          <w:tcPr>
            <w:tcW w:type="dxa" w:w="3744"/>
            <w:tcMar>
              <w:top w:w="105" w:type="dxa"/>
              <w:start w:w="125" w:type="dxa"/>
              <w:bottom w:w="105" w:type="dxa"/>
              <w:end w:w="125" w:type="dxa"/>
            </w:tcMar>
            <w:vAlign w:val="center"/>
          </w:tcPr>
          <w:p>
            <w:pPr>
              <w:spacing w:after="0" w:line="252" w:lineRule="auto"/>
            </w:pPr>
            <w:r>
              <w:rPr>
                <w:sz w:val="17"/>
              </w:rPr>
              <w:t>Review provenance is retained</w:t>
            </w:r>
          </w:p>
        </w:tc>
        <w:tc>
          <w:tcPr>
            <w:tcW w:type="dxa" w:w="5904"/>
            <w:tcMar>
              <w:top w:w="105" w:type="dxa"/>
              <w:start w:w="125" w:type="dxa"/>
              <w:bottom w:w="105" w:type="dxa"/>
              <w:end w:w="125" w:type="dxa"/>
            </w:tcMar>
            <w:vAlign w:val="center"/>
          </w:tcPr>
          <w:p>
            <w:pPr>
              <w:spacing w:after="0" w:line="252" w:lineRule="auto"/>
            </w:pPr>
            <w:r>
              <w:rPr>
                <w:sz w:val="17"/>
              </w:rPr>
              <w:t>Supports audit of who reviewed the study and when.</w:t>
            </w:r>
          </w:p>
        </w:tc>
      </w:tr>
    </w:tbl>
    <w:p>
      <w:pPr>
        <w:spacing w:after="0"/>
      </w:pPr>
    </w:p>
    <w:p>
      <w:pPr>
        <w:pStyle w:val="Heading1"/>
        <w:keepNext/>
        <w:pageBreakBefore/>
      </w:pPr>
      <w:r>
        <w:t>Performance Evidence and Validation</w:t>
      </w:r>
    </w:p>
    <w:p>
      <w:pPr>
        <w:pStyle w:val="BodyText"/>
      </w:pPr>
      <w:r>
        <w:t>The repository records development evaluation values including a DenseNet ROC AUC of 0.85, YOLO localisation on 143 of 200 positive test images at IoU 0.50, and 54 false alerts among 200 negative test images. These figures describe the development evaluation set. They are not evidence of local clinical sensitivity, specificity, patient outcome, or production effectiveness.</w:t>
      </w:r>
    </w:p>
    <w:p>
      <w:pPr>
        <w:pStyle w:val="BodyText"/>
      </w:pPr>
      <w:r>
        <w:t>The 27 percent false-alert count in the stated negative test set is operationally important. Before priority categories influence a live queue, the organisation should measure how often Review Flag and High Priority studies are not confirmed by radiologists and whether that burden changes reading behaviour.</w:t>
      </w:r>
    </w:p>
    <w:p>
      <w:pPr>
        <w:pStyle w:val="Heading2"/>
        <w:keepNext/>
      </w:pPr>
      <w:r>
        <w:t>Minimum Local Validation</w:t>
      </w:r>
    </w:p>
    <w:p>
      <w:pPr>
        <w:pStyle w:val="ListBullet"/>
      </w:pPr>
      <w:r>
        <w:t>Use representative local chest X-rays across PA and AP views, equipment, wards, acquisition quality, and relevant patient subgroups.</w:t>
      </w:r>
    </w:p>
    <w:p>
      <w:pPr>
        <w:pStyle w:val="ListBullet"/>
      </w:pPr>
      <w:r>
        <w:t>Compare AI categories with blinded radiologist review and a defined reference process.</w:t>
      </w:r>
    </w:p>
    <w:p>
      <w:pPr>
        <w:pStyle w:val="ListBullet"/>
      </w:pPr>
      <w:r>
        <w:t>Measure category-level sensitivity, false-alert burden, positive predictive value, calibration, and time-to-read impact.</w:t>
      </w:r>
    </w:p>
    <w:p>
      <w:pPr>
        <w:pStyle w:val="ListBullet"/>
      </w:pPr>
      <w:r>
        <w:t>Review false negatives and high-confidence false positives clinically, not only statistically.</w:t>
      </w:r>
    </w:p>
    <w:p>
      <w:pPr>
        <w:pStyle w:val="ListBullet"/>
      </w:pPr>
      <w:r>
        <w:t>Document threshold approval, intended use, excluded use, version, and change-control criteria.</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97"/>
        <w:gridCol w:w="4997"/>
      </w:tblGrid>
      <w:tr>
        <w:trPr>
          <w:tblHeader w:val="true"/>
        </w:trPr>
        <w:tc>
          <w:tcPr>
            <w:tcW w:type="dxa" w:w="3600"/>
            <w:shd w:fill="18324A"/>
            <w:tcMar>
              <w:top w:w="105" w:type="dxa"/>
              <w:start w:w="125" w:type="dxa"/>
              <w:bottom w:w="105" w:type="dxa"/>
              <w:end w:w="125" w:type="dxa"/>
            </w:tcMar>
            <w:vAlign w:val="center"/>
          </w:tcPr>
          <w:p>
            <w:pPr>
              <w:jc w:val="center"/>
            </w:pPr>
            <w:r>
              <w:rPr>
                <w:b/>
                <w:color w:val="FFFFFF"/>
                <w:sz w:val="17"/>
              </w:rPr>
              <w:t>Decision question</w:t>
            </w:r>
          </w:p>
        </w:tc>
        <w:tc>
          <w:tcPr>
            <w:tcW w:type="dxa" w:w="6048"/>
            <w:shd w:fill="18324A"/>
            <w:tcMar>
              <w:top w:w="105" w:type="dxa"/>
              <w:start w:w="125" w:type="dxa"/>
              <w:bottom w:w="105" w:type="dxa"/>
              <w:end w:w="125" w:type="dxa"/>
            </w:tcMar>
            <w:vAlign w:val="center"/>
          </w:tcPr>
          <w:p>
            <w:pPr>
              <w:jc w:val="center"/>
            </w:pPr>
            <w:r>
              <w:rPr>
                <w:b/>
                <w:color w:val="FFFFFF"/>
                <w:sz w:val="17"/>
              </w:rPr>
              <w:t>Evidence required</w:t>
            </w:r>
          </w:p>
        </w:tc>
      </w:tr>
      <w:tr>
        <w:tc>
          <w:tcPr>
            <w:tcW w:type="dxa" w:w="3600"/>
            <w:tcMar>
              <w:top w:w="105" w:type="dxa"/>
              <w:start w:w="125" w:type="dxa"/>
              <w:bottom w:w="105" w:type="dxa"/>
              <w:end w:w="125" w:type="dxa"/>
            </w:tcMar>
            <w:vAlign w:val="center"/>
          </w:tcPr>
          <w:p>
            <w:pPr>
              <w:spacing w:after="0" w:line="252" w:lineRule="auto"/>
            </w:pPr>
            <w:r>
              <w:rPr>
                <w:sz w:val="17"/>
              </w:rPr>
              <w:t>Can categories reorder the live queue?</w:t>
            </w:r>
          </w:p>
        </w:tc>
        <w:tc>
          <w:tcPr>
            <w:tcW w:type="dxa" w:w="6048"/>
            <w:tcMar>
              <w:top w:w="105" w:type="dxa"/>
              <w:start w:w="125" w:type="dxa"/>
              <w:bottom w:w="105" w:type="dxa"/>
              <w:end w:w="125" w:type="dxa"/>
            </w:tcMar>
            <w:vAlign w:val="center"/>
          </w:tcPr>
          <w:p>
            <w:pPr>
              <w:spacing w:after="0" w:line="252" w:lineRule="auto"/>
            </w:pPr>
            <w:r>
              <w:rPr>
                <w:sz w:val="17"/>
              </w:rPr>
              <w:t>Shadow-mode evidence that earlier attention improves without unsafe delay to other studies.</w:t>
            </w:r>
          </w:p>
        </w:tc>
      </w:tr>
      <w:tr>
        <w:tc>
          <w:tcPr>
            <w:tcW w:type="dxa" w:w="3600"/>
            <w:tcMar>
              <w:top w:w="105" w:type="dxa"/>
              <w:start w:w="125" w:type="dxa"/>
              <w:bottom w:w="105" w:type="dxa"/>
              <w:end w:w="125" w:type="dxa"/>
            </w:tcMar>
            <w:vAlign w:val="center"/>
            <w:shd w:fill="F5F8FA"/>
          </w:tcPr>
          <w:p>
            <w:pPr>
              <w:spacing w:after="0" w:line="252" w:lineRule="auto"/>
            </w:pPr>
            <w:r>
              <w:rPr>
                <w:sz w:val="17"/>
              </w:rPr>
              <w:t>Are thresholds acceptable?</w:t>
            </w:r>
          </w:p>
        </w:tc>
        <w:tc>
          <w:tcPr>
            <w:tcW w:type="dxa" w:w="6048"/>
            <w:tcMar>
              <w:top w:w="105" w:type="dxa"/>
              <w:start w:w="125" w:type="dxa"/>
              <w:bottom w:w="105" w:type="dxa"/>
              <w:end w:w="125" w:type="dxa"/>
            </w:tcMar>
            <w:vAlign w:val="center"/>
            <w:shd w:fill="F5F8FA"/>
          </w:tcPr>
          <w:p>
            <w:pPr>
              <w:spacing w:after="0" w:line="252" w:lineRule="auto"/>
            </w:pPr>
            <w:r>
              <w:rPr>
                <w:sz w:val="17"/>
              </w:rPr>
              <w:t>Local detection performance and reader workload at the configured operating points.</w:t>
            </w:r>
          </w:p>
        </w:tc>
      </w:tr>
      <w:tr>
        <w:tc>
          <w:tcPr>
            <w:tcW w:type="dxa" w:w="3600"/>
            <w:tcMar>
              <w:top w:w="105" w:type="dxa"/>
              <w:start w:w="125" w:type="dxa"/>
              <w:bottom w:w="105" w:type="dxa"/>
              <w:end w:w="125" w:type="dxa"/>
            </w:tcMar>
            <w:vAlign w:val="center"/>
          </w:tcPr>
          <w:p>
            <w:pPr>
              <w:spacing w:after="0" w:line="252" w:lineRule="auto"/>
            </w:pPr>
            <w:r>
              <w:rPr>
                <w:sz w:val="17"/>
              </w:rPr>
              <w:t>Can the service run continuously?</w:t>
            </w:r>
          </w:p>
        </w:tc>
        <w:tc>
          <w:tcPr>
            <w:tcW w:type="dxa" w:w="6048"/>
            <w:tcMar>
              <w:top w:w="105" w:type="dxa"/>
              <w:start w:w="125" w:type="dxa"/>
              <w:bottom w:w="105" w:type="dxa"/>
              <w:end w:w="125" w:type="dxa"/>
            </w:tcMar>
            <w:vAlign w:val="center"/>
          </w:tcPr>
          <w:p>
            <w:pPr>
              <w:spacing w:after="0" w:line="252" w:lineRule="auto"/>
            </w:pPr>
            <w:r>
              <w:rPr>
                <w:sz w:val="17"/>
              </w:rPr>
              <w:t>PACS, inference, database, monitoring, retry, downtime, and recovery tests.</w:t>
            </w:r>
          </w:p>
        </w:tc>
      </w:tr>
      <w:tr>
        <w:tc>
          <w:tcPr>
            <w:tcW w:type="dxa" w:w="3600"/>
            <w:tcMar>
              <w:top w:w="105" w:type="dxa"/>
              <w:start w:w="125" w:type="dxa"/>
              <w:bottom w:w="105" w:type="dxa"/>
              <w:end w:w="125" w:type="dxa"/>
            </w:tcMar>
            <w:vAlign w:val="center"/>
            <w:shd w:fill="F5F8FA"/>
          </w:tcPr>
          <w:p>
            <w:pPr>
              <w:spacing w:after="0" w:line="252" w:lineRule="auto"/>
            </w:pPr>
            <w:r>
              <w:rPr>
                <w:sz w:val="17"/>
              </w:rPr>
              <w:t>Can users interpret the output safely?</w:t>
            </w:r>
          </w:p>
        </w:tc>
        <w:tc>
          <w:tcPr>
            <w:tcW w:type="dxa" w:w="6048"/>
            <w:tcMar>
              <w:top w:w="105" w:type="dxa"/>
              <w:start w:w="125" w:type="dxa"/>
              <w:bottom w:w="105" w:type="dxa"/>
              <w:end w:w="125" w:type="dxa"/>
            </w:tcMar>
            <w:vAlign w:val="center"/>
            <w:shd w:fill="F5F8FA"/>
          </w:tcPr>
          <w:p>
            <w:pPr>
              <w:spacing w:after="0" w:line="252" w:lineRule="auto"/>
            </w:pPr>
            <w:r>
              <w:rPr>
                <w:sz w:val="17"/>
              </w:rPr>
              <w:t>Usability testing confirming that category, reason, and disclaimer are understood.</w:t>
            </w:r>
          </w:p>
        </w:tc>
      </w:tr>
    </w:tbl>
    <w:p>
      <w:pPr>
        <w:spacing w:after="0"/>
      </w:pPr>
    </w:p>
    <w:p>
      <w:pPr>
        <w:pStyle w:val="Heading1"/>
        <w:keepNext/>
        <w:pageBreakBefore/>
      </w:pPr>
      <w:r>
        <w:t>Pilot Measures</w:t>
      </w:r>
    </w:p>
    <w:p>
      <w:pPr>
        <w:pStyle w:val="BodyText"/>
      </w:pPr>
      <w:r>
        <w:t>The pilot should evaluate whether prioritisation changes workflow performance, not merely whether the model produces scores.</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3331"/>
        <w:gridCol w:w="3331"/>
        <w:gridCol w:w="3331"/>
      </w:tblGrid>
      <w:tr>
        <w:trPr>
          <w:tblHeader w:val="true"/>
        </w:trPr>
        <w:tc>
          <w:tcPr>
            <w:tcW w:type="dxa" w:w="2232"/>
            <w:shd w:fill="18324A"/>
            <w:tcMar>
              <w:top w:w="105" w:type="dxa"/>
              <w:start w:w="125" w:type="dxa"/>
              <w:bottom w:w="105" w:type="dxa"/>
              <w:end w:w="125" w:type="dxa"/>
            </w:tcMar>
            <w:vAlign w:val="center"/>
          </w:tcPr>
          <w:p>
            <w:pPr>
              <w:jc w:val="center"/>
            </w:pPr>
            <w:r>
              <w:rPr>
                <w:b/>
                <w:color w:val="FFFFFF"/>
                <w:sz w:val="16"/>
              </w:rPr>
              <w:t>Measure</w:t>
            </w:r>
          </w:p>
        </w:tc>
        <w:tc>
          <w:tcPr>
            <w:tcW w:type="dxa" w:w="3960"/>
            <w:shd w:fill="18324A"/>
            <w:tcMar>
              <w:top w:w="105" w:type="dxa"/>
              <w:start w:w="125" w:type="dxa"/>
              <w:bottom w:w="105" w:type="dxa"/>
              <w:end w:w="125" w:type="dxa"/>
            </w:tcMar>
            <w:vAlign w:val="center"/>
          </w:tcPr>
          <w:p>
            <w:pPr>
              <w:jc w:val="center"/>
            </w:pPr>
            <w:r>
              <w:rPr>
                <w:b/>
                <w:color w:val="FFFFFF"/>
                <w:sz w:val="16"/>
              </w:rPr>
              <w:t>Definition</w:t>
            </w:r>
          </w:p>
        </w:tc>
        <w:tc>
          <w:tcPr>
            <w:tcW w:type="dxa" w:w="3456"/>
            <w:shd w:fill="18324A"/>
            <w:tcMar>
              <w:top w:w="105" w:type="dxa"/>
              <w:start w:w="125" w:type="dxa"/>
              <w:bottom w:w="105" w:type="dxa"/>
              <w:end w:w="125" w:type="dxa"/>
            </w:tcMar>
            <w:vAlign w:val="center"/>
          </w:tcPr>
          <w:p>
            <w:pPr>
              <w:jc w:val="center"/>
            </w:pPr>
            <w:r>
              <w:rPr>
                <w:b/>
                <w:color w:val="FFFFFF"/>
                <w:sz w:val="16"/>
              </w:rPr>
              <w:t>Management question</w:t>
            </w:r>
          </w:p>
        </w:tc>
      </w:tr>
      <w:tr>
        <w:tc>
          <w:tcPr>
            <w:tcW w:type="dxa" w:w="2232"/>
            <w:tcMar>
              <w:top w:w="105" w:type="dxa"/>
              <w:start w:w="125" w:type="dxa"/>
              <w:bottom w:w="105" w:type="dxa"/>
              <w:end w:w="125" w:type="dxa"/>
            </w:tcMar>
            <w:vAlign w:val="center"/>
          </w:tcPr>
          <w:p>
            <w:pPr>
              <w:spacing w:after="0" w:line="252" w:lineRule="auto"/>
            </w:pPr>
            <w:r>
              <w:rPr>
                <w:sz w:val="16"/>
              </w:rPr>
              <w:t>Time to first read by category</w:t>
            </w:r>
          </w:p>
        </w:tc>
        <w:tc>
          <w:tcPr>
            <w:tcW w:type="dxa" w:w="3960"/>
            <w:tcMar>
              <w:top w:w="105" w:type="dxa"/>
              <w:start w:w="125" w:type="dxa"/>
              <w:bottom w:w="105" w:type="dxa"/>
              <w:end w:w="125" w:type="dxa"/>
            </w:tcMar>
            <w:vAlign w:val="center"/>
          </w:tcPr>
          <w:p>
            <w:pPr>
              <w:spacing w:after="0" w:line="252" w:lineRule="auto"/>
            </w:pPr>
            <w:r>
              <w:rPr>
                <w:sz w:val="16"/>
              </w:rPr>
              <w:t>Elapsed time from study readiness to first radiologist review for each category.</w:t>
            </w:r>
          </w:p>
        </w:tc>
        <w:tc>
          <w:tcPr>
            <w:tcW w:type="dxa" w:w="3456"/>
            <w:tcMar>
              <w:top w:w="105" w:type="dxa"/>
              <w:start w:w="125" w:type="dxa"/>
              <w:bottom w:w="105" w:type="dxa"/>
              <w:end w:w="125" w:type="dxa"/>
            </w:tcMar>
            <w:vAlign w:val="center"/>
          </w:tcPr>
          <w:p>
            <w:pPr>
              <w:spacing w:after="0" w:line="252" w:lineRule="auto"/>
            </w:pPr>
            <w:r>
              <w:rPr>
                <w:sz w:val="16"/>
              </w:rPr>
              <w:t>Do stronger signals receive earlier attention?</w:t>
            </w:r>
          </w:p>
        </w:tc>
      </w:tr>
      <w:tr>
        <w:tc>
          <w:tcPr>
            <w:tcW w:type="dxa" w:w="2232"/>
            <w:tcMar>
              <w:top w:w="105" w:type="dxa"/>
              <w:start w:w="125" w:type="dxa"/>
              <w:bottom w:w="105" w:type="dxa"/>
              <w:end w:w="125" w:type="dxa"/>
            </w:tcMar>
            <w:vAlign w:val="center"/>
            <w:shd w:fill="F5F8FA"/>
          </w:tcPr>
          <w:p>
            <w:pPr>
              <w:spacing w:after="0" w:line="252" w:lineRule="auto"/>
            </w:pPr>
            <w:r>
              <w:rPr>
                <w:sz w:val="16"/>
              </w:rPr>
              <w:t>Queue age distribution</w:t>
            </w:r>
          </w:p>
        </w:tc>
        <w:tc>
          <w:tcPr>
            <w:tcW w:type="dxa" w:w="3960"/>
            <w:tcMar>
              <w:top w:w="105" w:type="dxa"/>
              <w:start w:w="125" w:type="dxa"/>
              <w:bottom w:w="105" w:type="dxa"/>
              <w:end w:w="125" w:type="dxa"/>
            </w:tcMar>
            <w:vAlign w:val="center"/>
            <w:shd w:fill="F5F8FA"/>
          </w:tcPr>
          <w:p>
            <w:pPr>
              <w:spacing w:after="0" w:line="252" w:lineRule="auto"/>
            </w:pPr>
            <w:r>
              <w:rPr>
                <w:sz w:val="16"/>
              </w:rPr>
              <w:t>Waiting time percentiles for High Priority, Review Flag, and Routine.</w:t>
            </w:r>
          </w:p>
        </w:tc>
        <w:tc>
          <w:tcPr>
            <w:tcW w:type="dxa" w:w="3456"/>
            <w:tcMar>
              <w:top w:w="105" w:type="dxa"/>
              <w:start w:w="125" w:type="dxa"/>
              <w:bottom w:w="105" w:type="dxa"/>
              <w:end w:w="125" w:type="dxa"/>
            </w:tcMar>
            <w:vAlign w:val="center"/>
            <w:shd w:fill="F5F8FA"/>
          </w:tcPr>
          <w:p>
            <w:pPr>
              <w:spacing w:after="0" w:line="252" w:lineRule="auto"/>
            </w:pPr>
            <w:r>
              <w:rPr>
                <w:sz w:val="16"/>
              </w:rPr>
              <w:t>Does prioritisation reduce long waits without starving routine work?</w:t>
            </w:r>
          </w:p>
        </w:tc>
      </w:tr>
      <w:tr>
        <w:tc>
          <w:tcPr>
            <w:tcW w:type="dxa" w:w="2232"/>
            <w:tcMar>
              <w:top w:w="105" w:type="dxa"/>
              <w:start w:w="125" w:type="dxa"/>
              <w:bottom w:w="105" w:type="dxa"/>
              <w:end w:w="125" w:type="dxa"/>
            </w:tcMar>
            <w:vAlign w:val="center"/>
          </w:tcPr>
          <w:p>
            <w:pPr>
              <w:spacing w:after="0" w:line="252" w:lineRule="auto"/>
            </w:pPr>
            <w:r>
              <w:rPr>
                <w:sz w:val="16"/>
              </w:rPr>
              <w:t>Radiologist agreement</w:t>
            </w:r>
          </w:p>
        </w:tc>
        <w:tc>
          <w:tcPr>
            <w:tcW w:type="dxa" w:w="3960"/>
            <w:tcMar>
              <w:top w:w="105" w:type="dxa"/>
              <w:start w:w="125" w:type="dxa"/>
              <w:bottom w:w="105" w:type="dxa"/>
              <w:end w:w="125" w:type="dxa"/>
            </w:tcMar>
            <w:vAlign w:val="center"/>
          </w:tcPr>
          <w:p>
            <w:pPr>
              <w:spacing w:after="0" w:line="252" w:lineRule="auto"/>
            </w:pPr>
            <w:r>
              <w:rPr>
                <w:sz w:val="16"/>
              </w:rPr>
              <w:t>Proportion of categories aligned with radiologist findings under the agreed definition.</w:t>
            </w:r>
          </w:p>
        </w:tc>
        <w:tc>
          <w:tcPr>
            <w:tcW w:type="dxa" w:w="3456"/>
            <w:tcMar>
              <w:top w:w="105" w:type="dxa"/>
              <w:start w:w="125" w:type="dxa"/>
              <w:bottom w:w="105" w:type="dxa"/>
              <w:end w:w="125" w:type="dxa"/>
            </w:tcMar>
            <w:vAlign w:val="center"/>
          </w:tcPr>
          <w:p>
            <w:pPr>
              <w:spacing w:after="0" w:line="252" w:lineRule="auto"/>
            </w:pPr>
            <w:r>
              <w:rPr>
                <w:sz w:val="16"/>
              </w:rPr>
              <w:t>Is the triage signal useful in local practice?</w:t>
            </w:r>
          </w:p>
        </w:tc>
      </w:tr>
      <w:tr>
        <w:tc>
          <w:tcPr>
            <w:tcW w:type="dxa" w:w="2232"/>
            <w:tcMar>
              <w:top w:w="105" w:type="dxa"/>
              <w:start w:w="125" w:type="dxa"/>
              <w:bottom w:w="105" w:type="dxa"/>
              <w:end w:w="125" w:type="dxa"/>
            </w:tcMar>
            <w:vAlign w:val="center"/>
            <w:shd w:fill="F5F8FA"/>
          </w:tcPr>
          <w:p>
            <w:pPr>
              <w:spacing w:after="0" w:line="252" w:lineRule="auto"/>
            </w:pPr>
            <w:r>
              <w:rPr>
                <w:sz w:val="16"/>
              </w:rPr>
              <w:t>False-alert workload</w:t>
            </w:r>
          </w:p>
        </w:tc>
        <w:tc>
          <w:tcPr>
            <w:tcW w:type="dxa" w:w="3960"/>
            <w:tcMar>
              <w:top w:w="105" w:type="dxa"/>
              <w:start w:w="125" w:type="dxa"/>
              <w:bottom w:w="105" w:type="dxa"/>
              <w:end w:w="125" w:type="dxa"/>
            </w:tcMar>
            <w:vAlign w:val="center"/>
            <w:shd w:fill="F5F8FA"/>
          </w:tcPr>
          <w:p>
            <w:pPr>
              <w:spacing w:after="0" w:line="252" w:lineRule="auto"/>
            </w:pPr>
            <w:r>
              <w:rPr>
                <w:sz w:val="16"/>
              </w:rPr>
              <w:t>High Priority or Review Flag studies not supported after review.</w:t>
            </w:r>
          </w:p>
        </w:tc>
        <w:tc>
          <w:tcPr>
            <w:tcW w:type="dxa" w:w="3456"/>
            <w:tcMar>
              <w:top w:w="105" w:type="dxa"/>
              <w:start w:w="125" w:type="dxa"/>
              <w:bottom w:w="105" w:type="dxa"/>
              <w:end w:w="125" w:type="dxa"/>
            </w:tcMar>
            <w:vAlign w:val="center"/>
            <w:shd w:fill="F5F8FA"/>
          </w:tcPr>
          <w:p>
            <w:pPr>
              <w:spacing w:after="0" w:line="252" w:lineRule="auto"/>
            </w:pPr>
            <w:r>
              <w:rPr>
                <w:sz w:val="16"/>
              </w:rPr>
              <w:t>Is alert burden acceptable?</w:t>
            </w:r>
          </w:p>
        </w:tc>
      </w:tr>
      <w:tr>
        <w:tc>
          <w:tcPr>
            <w:tcW w:type="dxa" w:w="2232"/>
            <w:tcMar>
              <w:top w:w="105" w:type="dxa"/>
              <w:start w:w="125" w:type="dxa"/>
              <w:bottom w:w="105" w:type="dxa"/>
              <w:end w:w="125" w:type="dxa"/>
            </w:tcMar>
            <w:vAlign w:val="center"/>
          </w:tcPr>
          <w:p>
            <w:pPr>
              <w:spacing w:after="0" w:line="252" w:lineRule="auto"/>
            </w:pPr>
            <w:r>
              <w:rPr>
                <w:sz w:val="16"/>
              </w:rPr>
              <w:t>Potential misses</w:t>
            </w:r>
          </w:p>
        </w:tc>
        <w:tc>
          <w:tcPr>
            <w:tcW w:type="dxa" w:w="3960"/>
            <w:tcMar>
              <w:top w:w="105" w:type="dxa"/>
              <w:start w:w="125" w:type="dxa"/>
              <w:bottom w:w="105" w:type="dxa"/>
              <w:end w:w="125" w:type="dxa"/>
            </w:tcMar>
            <w:vAlign w:val="center"/>
          </w:tcPr>
          <w:p>
            <w:pPr>
              <w:spacing w:after="0" w:line="252" w:lineRule="auto"/>
            </w:pPr>
            <w:r>
              <w:rPr>
                <w:sz w:val="16"/>
              </w:rPr>
              <w:t>Routine studies later found to contain a target finding.</w:t>
            </w:r>
          </w:p>
        </w:tc>
        <w:tc>
          <w:tcPr>
            <w:tcW w:type="dxa" w:w="3456"/>
            <w:tcMar>
              <w:top w:w="105" w:type="dxa"/>
              <w:start w:w="125" w:type="dxa"/>
              <w:bottom w:w="105" w:type="dxa"/>
              <w:end w:w="125" w:type="dxa"/>
            </w:tcMar>
            <w:vAlign w:val="center"/>
          </w:tcPr>
          <w:p>
            <w:pPr>
              <w:spacing w:after="0" w:line="252" w:lineRule="auto"/>
            </w:pPr>
            <w:r>
              <w:rPr>
                <w:sz w:val="16"/>
              </w:rPr>
              <w:t>Is the routine category being over-trusted?</w:t>
            </w:r>
          </w:p>
        </w:tc>
      </w:tr>
      <w:tr>
        <w:tc>
          <w:tcPr>
            <w:tcW w:type="dxa" w:w="2232"/>
            <w:tcMar>
              <w:top w:w="105" w:type="dxa"/>
              <w:start w:w="125" w:type="dxa"/>
              <w:bottom w:w="105" w:type="dxa"/>
              <w:end w:w="125" w:type="dxa"/>
            </w:tcMar>
            <w:vAlign w:val="center"/>
            <w:shd w:fill="F5F8FA"/>
          </w:tcPr>
          <w:p>
            <w:pPr>
              <w:spacing w:after="0" w:line="252" w:lineRule="auto"/>
            </w:pPr>
            <w:r>
              <w:rPr>
                <w:sz w:val="16"/>
              </w:rPr>
              <w:t>Category override behaviour</w:t>
            </w:r>
          </w:p>
        </w:tc>
        <w:tc>
          <w:tcPr>
            <w:tcW w:type="dxa" w:w="3960"/>
            <w:tcMar>
              <w:top w:w="105" w:type="dxa"/>
              <w:start w:w="125" w:type="dxa"/>
              <w:bottom w:w="105" w:type="dxa"/>
              <w:end w:w="125" w:type="dxa"/>
            </w:tcMar>
            <w:vAlign w:val="center"/>
            <w:shd w:fill="F5F8FA"/>
          </w:tcPr>
          <w:p>
            <w:pPr>
              <w:spacing w:after="0" w:line="252" w:lineRule="auto"/>
            </w:pPr>
            <w:r>
              <w:rPr>
                <w:sz w:val="16"/>
              </w:rPr>
              <w:t>Reader actions and comments when the category appears inconsistent.</w:t>
            </w:r>
          </w:p>
        </w:tc>
        <w:tc>
          <w:tcPr>
            <w:tcW w:type="dxa" w:w="3456"/>
            <w:tcMar>
              <w:top w:w="105" w:type="dxa"/>
              <w:start w:w="125" w:type="dxa"/>
              <w:bottom w:w="105" w:type="dxa"/>
              <w:end w:w="125" w:type="dxa"/>
            </w:tcMar>
            <w:vAlign w:val="center"/>
            <w:shd w:fill="F5F8FA"/>
          </w:tcPr>
          <w:p>
            <w:pPr>
              <w:spacing w:after="0" w:line="252" w:lineRule="auto"/>
            </w:pPr>
            <w:r>
              <w:rPr>
                <w:sz w:val="16"/>
              </w:rPr>
              <w:t>Are users applying judgement rather than automation bias?</w:t>
            </w:r>
          </w:p>
        </w:tc>
      </w:tr>
      <w:tr>
        <w:tc>
          <w:tcPr>
            <w:tcW w:type="dxa" w:w="2232"/>
            <w:tcMar>
              <w:top w:w="105" w:type="dxa"/>
              <w:start w:w="125" w:type="dxa"/>
              <w:bottom w:w="105" w:type="dxa"/>
              <w:end w:w="125" w:type="dxa"/>
            </w:tcMar>
            <w:vAlign w:val="center"/>
          </w:tcPr>
          <w:p>
            <w:pPr>
              <w:spacing w:after="0" w:line="252" w:lineRule="auto"/>
            </w:pPr>
            <w:r>
              <w:rPr>
                <w:sz w:val="16"/>
              </w:rPr>
              <w:t>Service reliability</w:t>
            </w:r>
          </w:p>
        </w:tc>
        <w:tc>
          <w:tcPr>
            <w:tcW w:type="dxa" w:w="3960"/>
            <w:tcMar>
              <w:top w:w="105" w:type="dxa"/>
              <w:start w:w="125" w:type="dxa"/>
              <w:bottom w:w="105" w:type="dxa"/>
              <w:end w:w="125" w:type="dxa"/>
            </w:tcMar>
            <w:vAlign w:val="center"/>
          </w:tcPr>
          <w:p>
            <w:pPr>
              <w:spacing w:after="0" w:line="252" w:lineRule="auto"/>
            </w:pPr>
            <w:r>
              <w:rPr>
                <w:sz w:val="16"/>
              </w:rPr>
              <w:t>Failed analyses, retry age, PACS downtime, and worklist availability.</w:t>
            </w:r>
          </w:p>
        </w:tc>
        <w:tc>
          <w:tcPr>
            <w:tcW w:type="dxa" w:w="3456"/>
            <w:tcMar>
              <w:top w:w="105" w:type="dxa"/>
              <w:start w:w="125" w:type="dxa"/>
              <w:bottom w:w="105" w:type="dxa"/>
              <w:end w:w="125" w:type="dxa"/>
            </w:tcMar>
            <w:vAlign w:val="center"/>
          </w:tcPr>
          <w:p>
            <w:pPr>
              <w:spacing w:after="0" w:line="252" w:lineRule="auto"/>
            </w:pPr>
            <w:r>
              <w:rPr>
                <w:sz w:val="16"/>
              </w:rPr>
              <w:t>Can the prioritisation pathway be trusted operationally?</w:t>
            </w:r>
          </w:p>
        </w:tc>
      </w:tr>
    </w:tbl>
    <w:p>
      <w:pPr>
        <w:spacing w:after="0"/>
      </w:pPr>
    </w:p>
    <w:p>
      <w:pPr>
        <w:pStyle w:val="Heading2"/>
        <w:keepNext/>
      </w:pPr>
      <w:r>
        <w:t>Guardrails for Interpreting Results</w:t>
      </w:r>
    </w:p>
    <w:p>
      <w:pPr>
        <w:pStyle w:val="ListBullet"/>
      </w:pPr>
      <w:r>
        <w:t>Report category-level results with sample sizes and confidence intervals.</w:t>
      </w:r>
    </w:p>
    <w:p>
      <w:pPr>
        <w:pStyle w:val="ListBullet"/>
      </w:pPr>
      <w:r>
        <w:t>Analyse performance by view, device, ward, image quality, and relevant patient subgroup.</w:t>
      </w:r>
    </w:p>
    <w:p>
      <w:pPr>
        <w:pStyle w:val="ListBullet"/>
      </w:pPr>
      <w:r>
        <w:t>Track routine-study turnaround so prioritisation does not create hidden delay.</w:t>
      </w:r>
    </w:p>
    <w:p>
      <w:pPr>
        <w:pStyle w:val="ListBullet"/>
      </w:pPr>
      <w:r>
        <w:t>Separate model performance, workflow effect, usability, and service reliability in governance reviews.</w:t>
      </w:r>
    </w:p>
    <w:p>
      <w:pPr>
        <w:pStyle w:val="Heading1"/>
        <w:keepNext/>
        <w:pageBreakBefore/>
      </w:pPr>
      <w:r>
        <w:t>Pilot Plan</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97"/>
        <w:gridCol w:w="4997"/>
      </w:tblGrid>
      <w:tr>
        <w:trPr>
          <w:tblHeader w:val="true"/>
        </w:trPr>
        <w:tc>
          <w:tcPr>
            <w:tcW w:type="dxa" w:w="2520"/>
            <w:shd w:fill="18324A"/>
            <w:tcMar>
              <w:top w:w="105" w:type="dxa"/>
              <w:start w:w="125" w:type="dxa"/>
              <w:bottom w:w="105" w:type="dxa"/>
              <w:end w:w="125" w:type="dxa"/>
            </w:tcMar>
            <w:vAlign w:val="center"/>
          </w:tcPr>
          <w:p>
            <w:pPr>
              <w:jc w:val="center"/>
            </w:pPr>
            <w:r>
              <w:rPr>
                <w:b/>
                <w:color w:val="FFFFFF"/>
                <w:sz w:val="17"/>
              </w:rPr>
              <w:t>Stage</w:t>
            </w:r>
          </w:p>
        </w:tc>
        <w:tc>
          <w:tcPr>
            <w:tcW w:type="dxa" w:w="7128"/>
            <w:shd w:fill="18324A"/>
            <w:tcMar>
              <w:top w:w="105" w:type="dxa"/>
              <w:start w:w="125" w:type="dxa"/>
              <w:bottom w:w="105" w:type="dxa"/>
              <w:end w:w="125" w:type="dxa"/>
            </w:tcMar>
            <w:vAlign w:val="center"/>
          </w:tcPr>
          <w:p>
            <w:pPr>
              <w:jc w:val="center"/>
            </w:pPr>
            <w:r>
              <w:rPr>
                <w:b/>
                <w:color w:val="FFFFFF"/>
                <w:sz w:val="17"/>
              </w:rPr>
              <w:t>Triage-focused exit criteria</w:t>
            </w:r>
          </w:p>
        </w:tc>
      </w:tr>
      <w:tr>
        <w:tc>
          <w:tcPr>
            <w:tcW w:type="dxa" w:w="2520"/>
            <w:tcMar>
              <w:top w:w="105" w:type="dxa"/>
              <w:start w:w="125" w:type="dxa"/>
              <w:bottom w:w="105" w:type="dxa"/>
              <w:end w:w="125" w:type="dxa"/>
            </w:tcMar>
            <w:vAlign w:val="center"/>
          </w:tcPr>
          <w:p>
            <w:pPr>
              <w:spacing w:after="0" w:line="252" w:lineRule="auto"/>
            </w:pPr>
            <w:r>
              <w:rPr>
                <w:sz w:val="17"/>
              </w:rPr>
              <w:t>1  Technical verification</w:t>
            </w:r>
          </w:p>
        </w:tc>
        <w:tc>
          <w:tcPr>
            <w:tcW w:type="dxa" w:w="7128"/>
            <w:tcMar>
              <w:top w:w="105" w:type="dxa"/>
              <w:start w:w="125" w:type="dxa"/>
              <w:bottom w:w="105" w:type="dxa"/>
              <w:end w:w="125" w:type="dxa"/>
            </w:tcMar>
            <w:vAlign w:val="center"/>
          </w:tcPr>
          <w:p>
            <w:pPr>
              <w:spacing w:after="0" w:line="252" w:lineRule="auto"/>
            </w:pPr>
            <w:r>
              <w:rPr>
                <w:sz w:val="17"/>
              </w:rPr>
              <w:t>Every eligible study receives one reproducible category; worklist order matches the specified sort rule; failures are visible and retryable.</w:t>
            </w:r>
          </w:p>
        </w:tc>
      </w:tr>
      <w:tr>
        <w:tc>
          <w:tcPr>
            <w:tcW w:type="dxa" w:w="2520"/>
            <w:tcMar>
              <w:top w:w="105" w:type="dxa"/>
              <w:start w:w="125" w:type="dxa"/>
              <w:bottom w:w="105" w:type="dxa"/>
              <w:end w:w="125" w:type="dxa"/>
            </w:tcMar>
            <w:vAlign w:val="center"/>
            <w:shd w:fill="F5F8FA"/>
          </w:tcPr>
          <w:p>
            <w:pPr>
              <w:spacing w:after="0" w:line="252" w:lineRule="auto"/>
            </w:pPr>
            <w:r>
              <w:rPr>
                <w:sz w:val="17"/>
              </w:rPr>
              <w:t>2  Retrospective local validation</w:t>
            </w:r>
          </w:p>
        </w:tc>
        <w:tc>
          <w:tcPr>
            <w:tcW w:type="dxa" w:w="7128"/>
            <w:tcMar>
              <w:top w:w="105" w:type="dxa"/>
              <w:start w:w="125" w:type="dxa"/>
              <w:bottom w:w="105" w:type="dxa"/>
              <w:end w:w="125" w:type="dxa"/>
            </w:tcMar>
            <w:vAlign w:val="center"/>
            <w:shd w:fill="F5F8FA"/>
          </w:tcPr>
          <w:p>
            <w:pPr>
              <w:spacing w:after="0" w:line="252" w:lineRule="auto"/>
            </w:pPr>
            <w:r>
              <w:rPr>
                <w:sz w:val="17"/>
              </w:rPr>
              <w:t>Thresholds and category performance meet predefined clinical and workload acceptance criteria.</w:t>
            </w:r>
          </w:p>
        </w:tc>
      </w:tr>
      <w:tr>
        <w:tc>
          <w:tcPr>
            <w:tcW w:type="dxa" w:w="2520"/>
            <w:tcMar>
              <w:top w:w="105" w:type="dxa"/>
              <w:start w:w="125" w:type="dxa"/>
              <w:bottom w:w="105" w:type="dxa"/>
              <w:end w:w="125" w:type="dxa"/>
            </w:tcMar>
            <w:vAlign w:val="center"/>
          </w:tcPr>
          <w:p>
            <w:pPr>
              <w:spacing w:after="0" w:line="252" w:lineRule="auto"/>
            </w:pPr>
            <w:r>
              <w:rPr>
                <w:sz w:val="17"/>
              </w:rPr>
              <w:t>3  Shadow mode</w:t>
            </w:r>
          </w:p>
        </w:tc>
        <w:tc>
          <w:tcPr>
            <w:tcW w:type="dxa" w:w="7128"/>
            <w:tcMar>
              <w:top w:w="105" w:type="dxa"/>
              <w:start w:w="125" w:type="dxa"/>
              <w:bottom w:w="105" w:type="dxa"/>
              <w:end w:w="125" w:type="dxa"/>
            </w:tcMar>
            <w:vAlign w:val="center"/>
          </w:tcPr>
          <w:p>
            <w:pPr>
              <w:spacing w:after="0" w:line="252" w:lineRule="auto"/>
            </w:pPr>
            <w:r>
              <w:rPr>
                <w:sz w:val="17"/>
              </w:rPr>
              <w:t>Categories are recorded but do not change reading order; prospective agreement, workload, and latency are measured.</w:t>
            </w:r>
          </w:p>
        </w:tc>
      </w:tr>
      <w:tr>
        <w:tc>
          <w:tcPr>
            <w:tcW w:type="dxa" w:w="2520"/>
            <w:tcMar>
              <w:top w:w="105" w:type="dxa"/>
              <w:start w:w="125" w:type="dxa"/>
              <w:bottom w:w="105" w:type="dxa"/>
              <w:end w:w="125" w:type="dxa"/>
            </w:tcMar>
            <w:vAlign w:val="center"/>
            <w:shd w:fill="F5F8FA"/>
          </w:tcPr>
          <w:p>
            <w:pPr>
              <w:spacing w:after="0" w:line="252" w:lineRule="auto"/>
            </w:pPr>
            <w:r>
              <w:rPr>
                <w:sz w:val="17"/>
              </w:rPr>
              <w:t>4  Limited prioritised queue</w:t>
            </w:r>
          </w:p>
        </w:tc>
        <w:tc>
          <w:tcPr>
            <w:tcW w:type="dxa" w:w="7128"/>
            <w:tcMar>
              <w:top w:w="105" w:type="dxa"/>
              <w:start w:w="125" w:type="dxa"/>
              <w:bottom w:w="105" w:type="dxa"/>
              <w:end w:w="125" w:type="dxa"/>
            </w:tcMar>
            <w:vAlign w:val="center"/>
            <w:shd w:fill="F5F8FA"/>
          </w:tcPr>
          <w:p>
            <w:pPr>
              <w:spacing w:after="0" w:line="252" w:lineRule="auto"/>
            </w:pPr>
            <w:r>
              <w:rPr>
                <w:sz w:val="17"/>
              </w:rPr>
              <w:t>Approved users apply categories during defined hours with monitoring, manual fallback, and rollback authority.</w:t>
            </w:r>
          </w:p>
        </w:tc>
      </w:tr>
      <w:tr>
        <w:tc>
          <w:tcPr>
            <w:tcW w:type="dxa" w:w="2520"/>
            <w:tcMar>
              <w:top w:w="105" w:type="dxa"/>
              <w:start w:w="125" w:type="dxa"/>
              <w:bottom w:w="105" w:type="dxa"/>
              <w:end w:w="125" w:type="dxa"/>
            </w:tcMar>
            <w:vAlign w:val="center"/>
          </w:tcPr>
          <w:p>
            <w:pPr>
              <w:spacing w:after="0" w:line="252" w:lineRule="auto"/>
            </w:pPr>
            <w:r>
              <w:rPr>
                <w:sz w:val="17"/>
              </w:rPr>
              <w:t>5  Scale decision</w:t>
            </w:r>
          </w:p>
        </w:tc>
        <w:tc>
          <w:tcPr>
            <w:tcW w:type="dxa" w:w="7128"/>
            <w:tcMar>
              <w:top w:w="105" w:type="dxa"/>
              <w:start w:w="125" w:type="dxa"/>
              <w:bottom w:w="105" w:type="dxa"/>
              <w:end w:w="125" w:type="dxa"/>
            </w:tcMar>
            <w:vAlign w:val="center"/>
          </w:tcPr>
          <w:p>
            <w:pPr>
              <w:spacing w:after="0" w:line="252" w:lineRule="auto"/>
            </w:pPr>
            <w:r>
              <w:rPr>
                <w:sz w:val="17"/>
              </w:rPr>
              <w:t>Leadership reviews safety, turnaround, routine-study delay, reader behaviour, reliability, and operating cost.</w:t>
            </w:r>
          </w:p>
        </w:tc>
      </w:tr>
    </w:tbl>
    <w:p>
      <w:pPr>
        <w:spacing w:after="0"/>
      </w:pPr>
    </w:p>
    <w:p>
      <w:pPr>
        <w:pStyle w:val="Heading2"/>
        <w:keepNext/>
      </w:pPr>
      <w:r>
        <w:t>Go Live Decisions</w:t>
      </w:r>
    </w:p>
    <w:p>
      <w:pPr>
        <w:pStyle w:val="ListBullet"/>
      </w:pPr>
      <w:r>
        <w:t>Who owns the clinical meaning and approval of each category?</w:t>
      </w:r>
    </w:p>
    <w:p>
      <w:pPr>
        <w:pStyle w:val="ListBullet"/>
      </w:pPr>
      <w:r>
        <w:t>What maximum waiting time applies to High Priority, Review Flag, and Routine?</w:t>
      </w:r>
    </w:p>
    <w:p>
      <w:pPr>
        <w:pStyle w:val="ListBullet"/>
      </w:pPr>
      <w:r>
        <w:t>Can High Priority reorder the queue immediately, or only after local validation?</w:t>
      </w:r>
    </w:p>
    <w:p>
      <w:pPr>
        <w:pStyle w:val="ListBullet"/>
      </w:pPr>
      <w:r>
        <w:t>What false-alert and potential-miss thresholds trigger review or rollback?</w:t>
      </w:r>
    </w:p>
    <w:p>
      <w:pPr>
        <w:pStyle w:val="ListBullet"/>
      </w:pPr>
      <w:r>
        <w:t>How will the service behave when PACS, a model, or the worklist is unavailable?</w:t>
      </w:r>
    </w:p>
    <w:p>
      <w:pPr>
        <w:pStyle w:val="ListBullet"/>
      </w:pPr>
      <w:r>
        <w:t>How will model and threshold changes be versioned, revalidated, and communicated?</w:t>
      </w:r>
    </w:p>
    <w:p>
      <w:pPr>
        <w:pStyle w:val="Heading1"/>
        <w:keepNext/>
        <w:pageBreakBefore/>
      </w:pPr>
      <w:r>
        <w:t>Supporting Workflow Capabilities</w:t>
      </w:r>
    </w:p>
    <w:p>
      <w:pPr>
        <w:pStyle w:val="BodyText"/>
      </w:pPr>
      <w:r>
        <w:t>The following capabilities make prioritisation safe and usable, but they are secondary to the primary triage use case.</w:t>
      </w:r>
    </w:p>
    <w:tbl>
      <w:tblPr>
        <w:tblW w:type="auto" w:w="0"/>
        <w:jc w:val="center"/>
        <w:tblLayout w:type="fixed"/>
        <w:tblLook w:firstColumn="1" w:firstRow="1" w:lastColumn="0" w:lastRow="0" w:noHBand="0" w:noVBand="1" w:val="04A0"/>
        <w:tblBorders>
          <w:top w:val="single" w:sz="6" w:color="D9E1E8"/>
          <w:left w:val="single" w:sz="6" w:color="D9E1E8"/>
          <w:bottom w:val="single" w:sz="6" w:color="D9E1E8"/>
          <w:right w:val="single" w:sz="6" w:color="D9E1E8"/>
          <w:insideH w:val="single" w:sz="6" w:color="D9E1E8"/>
          <w:insideV w:val="single" w:sz="6" w:color="D9E1E8"/>
        </w:tblBorders>
      </w:tblPr>
      <w:tblGrid>
        <w:gridCol w:w="4997"/>
        <w:gridCol w:w="4997"/>
      </w:tblGrid>
      <w:tr>
        <w:trPr>
          <w:tblHeader w:val="true"/>
        </w:trPr>
        <w:tc>
          <w:tcPr>
            <w:tcW w:type="dxa" w:w="3096"/>
            <w:shd w:fill="18324A"/>
            <w:tcMar>
              <w:top w:w="105" w:type="dxa"/>
              <w:start w:w="125" w:type="dxa"/>
              <w:bottom w:w="105" w:type="dxa"/>
              <w:end w:w="125" w:type="dxa"/>
            </w:tcMar>
            <w:vAlign w:val="center"/>
          </w:tcPr>
          <w:p>
            <w:pPr>
              <w:jc w:val="center"/>
            </w:pPr>
            <w:r>
              <w:rPr>
                <w:b/>
                <w:color w:val="FFFFFF"/>
                <w:sz w:val="16"/>
              </w:rPr>
              <w:t>Supporting capability</w:t>
            </w:r>
          </w:p>
        </w:tc>
        <w:tc>
          <w:tcPr>
            <w:tcW w:type="dxa" w:w="6552"/>
            <w:shd w:fill="18324A"/>
            <w:tcMar>
              <w:top w:w="105" w:type="dxa"/>
              <w:start w:w="125" w:type="dxa"/>
              <w:bottom w:w="105" w:type="dxa"/>
              <w:end w:w="125" w:type="dxa"/>
            </w:tcMar>
            <w:vAlign w:val="center"/>
          </w:tcPr>
          <w:p>
            <w:pPr>
              <w:jc w:val="center"/>
            </w:pPr>
            <w:r>
              <w:rPr>
                <w:b/>
                <w:color w:val="FFFFFF"/>
                <w:sz w:val="16"/>
              </w:rPr>
              <w:t>Contribution to triage</w:t>
            </w:r>
          </w:p>
        </w:tc>
      </w:tr>
      <w:tr>
        <w:tc>
          <w:tcPr>
            <w:tcW w:type="dxa" w:w="3096"/>
            <w:tcMar>
              <w:top w:w="105" w:type="dxa"/>
              <w:start w:w="125" w:type="dxa"/>
              <w:bottom w:w="105" w:type="dxa"/>
              <w:end w:w="125" w:type="dxa"/>
            </w:tcMar>
            <w:vAlign w:val="center"/>
          </w:tcPr>
          <w:p>
            <w:pPr>
              <w:spacing w:after="0" w:line="252" w:lineRule="auto"/>
            </w:pPr>
            <w:r>
              <w:rPr>
                <w:sz w:val="16"/>
              </w:rPr>
              <w:t>Doctor order and accession</w:t>
            </w:r>
          </w:p>
        </w:tc>
        <w:tc>
          <w:tcPr>
            <w:tcW w:type="dxa" w:w="6552"/>
            <w:tcMar>
              <w:top w:w="105" w:type="dxa"/>
              <w:start w:w="125" w:type="dxa"/>
              <w:bottom w:w="105" w:type="dxa"/>
              <w:end w:w="125" w:type="dxa"/>
            </w:tcMar>
            <w:vAlign w:val="center"/>
          </w:tcPr>
          <w:p>
            <w:pPr>
              <w:spacing w:after="0" w:line="252" w:lineRule="auto"/>
            </w:pPr>
            <w:r>
              <w:rPr>
                <w:sz w:val="16"/>
              </w:rPr>
              <w:t>Provides patient, indication, urgency, requested view, and a traceable examination identity.</w:t>
            </w:r>
          </w:p>
        </w:tc>
      </w:tr>
      <w:tr>
        <w:tc>
          <w:tcPr>
            <w:tcW w:type="dxa" w:w="3096"/>
            <w:tcMar>
              <w:top w:w="105" w:type="dxa"/>
              <w:start w:w="125" w:type="dxa"/>
              <w:bottom w:w="105" w:type="dxa"/>
              <w:end w:w="125" w:type="dxa"/>
            </w:tcMar>
            <w:vAlign w:val="center"/>
            <w:shd w:fill="F5F8FA"/>
          </w:tcPr>
          <w:p>
            <w:pPr>
              <w:spacing w:after="0" w:line="252" w:lineRule="auto"/>
            </w:pPr>
            <w:r>
              <w:rPr>
                <w:sz w:val="16"/>
              </w:rPr>
              <w:t>DICOM verification and PACS storage</w:t>
            </w:r>
          </w:p>
        </w:tc>
        <w:tc>
          <w:tcPr>
            <w:tcW w:type="dxa" w:w="6552"/>
            <w:tcMar>
              <w:top w:w="105" w:type="dxa"/>
              <w:start w:w="125" w:type="dxa"/>
              <w:bottom w:w="105" w:type="dxa"/>
              <w:end w:w="125" w:type="dxa"/>
            </w:tcMar>
            <w:vAlign w:val="center"/>
            <w:shd w:fill="F5F8FA"/>
          </w:tcPr>
          <w:p>
            <w:pPr>
              <w:spacing w:after="0" w:line="252" w:lineRule="auto"/>
            </w:pPr>
            <w:r>
              <w:rPr>
                <w:sz w:val="16"/>
              </w:rPr>
              <w:t>Ensures the prioritised result belongs to the intended patient and study.</w:t>
            </w:r>
          </w:p>
        </w:tc>
      </w:tr>
      <w:tr>
        <w:tc>
          <w:tcPr>
            <w:tcW w:type="dxa" w:w="3096"/>
            <w:tcMar>
              <w:top w:w="105" w:type="dxa"/>
              <w:start w:w="125" w:type="dxa"/>
              <w:bottom w:w="105" w:type="dxa"/>
              <w:end w:w="125" w:type="dxa"/>
            </w:tcMar>
            <w:vAlign w:val="center"/>
          </w:tcPr>
          <w:p>
            <w:pPr>
              <w:spacing w:after="0" w:line="252" w:lineRule="auto"/>
            </w:pPr>
            <w:r>
              <w:rPr>
                <w:sz w:val="16"/>
              </w:rPr>
              <w:t>OHIF image viewer</w:t>
            </w:r>
          </w:p>
        </w:tc>
        <w:tc>
          <w:tcPr>
            <w:tcW w:type="dxa" w:w="6552"/>
            <w:tcMar>
              <w:top w:w="105" w:type="dxa"/>
              <w:start w:w="125" w:type="dxa"/>
              <w:bottom w:w="105" w:type="dxa"/>
              <w:end w:w="125" w:type="dxa"/>
            </w:tcMar>
            <w:vAlign w:val="center"/>
          </w:tcPr>
          <w:p>
            <w:pPr>
              <w:spacing w:after="0" w:line="252" w:lineRule="auto"/>
            </w:pPr>
            <w:r>
              <w:rPr>
                <w:sz w:val="16"/>
              </w:rPr>
              <w:t>Allows the radiologist to inspect the full stored image before reporting.</w:t>
            </w:r>
          </w:p>
        </w:tc>
      </w:tr>
      <w:tr>
        <w:tc>
          <w:tcPr>
            <w:tcW w:type="dxa" w:w="3096"/>
            <w:tcMar>
              <w:top w:w="105" w:type="dxa"/>
              <w:start w:w="125" w:type="dxa"/>
              <w:bottom w:w="105" w:type="dxa"/>
              <w:end w:w="125" w:type="dxa"/>
            </w:tcMar>
            <w:vAlign w:val="center"/>
            <w:shd w:fill="F5F8FA"/>
          </w:tcPr>
          <w:p>
            <w:pPr>
              <w:spacing w:after="0" w:line="252" w:lineRule="auto"/>
            </w:pPr>
            <w:r>
              <w:rPr>
                <w:sz w:val="16"/>
              </w:rPr>
              <w:t>Radiologist report and review state</w:t>
            </w:r>
          </w:p>
        </w:tc>
        <w:tc>
          <w:tcPr>
            <w:tcW w:type="dxa" w:w="6552"/>
            <w:tcMar>
              <w:top w:w="105" w:type="dxa"/>
              <w:start w:w="125" w:type="dxa"/>
              <w:bottom w:w="105" w:type="dxa"/>
              <w:end w:w="125" w:type="dxa"/>
            </w:tcMar>
            <w:vAlign w:val="center"/>
            <w:shd w:fill="F5F8FA"/>
          </w:tcPr>
          <w:p>
            <w:pPr>
              <w:spacing w:after="0" w:line="252" w:lineRule="auto"/>
            </w:pPr>
            <w:r>
              <w:rPr>
                <w:sz w:val="16"/>
              </w:rPr>
              <w:t>Closes the loop from AI priority to clinical interpretation.</w:t>
            </w:r>
          </w:p>
        </w:tc>
      </w:tr>
      <w:tr>
        <w:tc>
          <w:tcPr>
            <w:tcW w:type="dxa" w:w="3096"/>
            <w:tcMar>
              <w:top w:w="105" w:type="dxa"/>
              <w:start w:w="125" w:type="dxa"/>
              <w:bottom w:w="105" w:type="dxa"/>
              <w:end w:w="125" w:type="dxa"/>
            </w:tcMar>
            <w:vAlign w:val="center"/>
          </w:tcPr>
          <w:p>
            <w:pPr>
              <w:spacing w:after="0" w:line="252" w:lineRule="auto"/>
            </w:pPr>
            <w:r>
              <w:rPr>
                <w:sz w:val="16"/>
              </w:rPr>
              <w:t>Patient result view</w:t>
            </w:r>
          </w:p>
        </w:tc>
        <w:tc>
          <w:tcPr>
            <w:tcW w:type="dxa" w:w="6552"/>
            <w:tcMar>
              <w:top w:w="105" w:type="dxa"/>
              <w:start w:w="125" w:type="dxa"/>
              <w:bottom w:w="105" w:type="dxa"/>
              <w:end w:w="125" w:type="dxa"/>
            </w:tcMar>
            <w:vAlign w:val="center"/>
          </w:tcPr>
          <w:p>
            <w:pPr>
              <w:spacing w:after="0" w:line="252" w:lineRule="auto"/>
            </w:pPr>
            <w:r>
              <w:rPr>
                <w:sz w:val="16"/>
              </w:rPr>
              <w:t>Returns the reviewed result to the treating doctor.</w:t>
            </w:r>
          </w:p>
        </w:tc>
      </w:tr>
      <w:tr>
        <w:tc>
          <w:tcPr>
            <w:tcW w:type="dxa" w:w="3096"/>
            <w:tcMar>
              <w:top w:w="105" w:type="dxa"/>
              <w:start w:w="125" w:type="dxa"/>
              <w:bottom w:w="105" w:type="dxa"/>
              <w:end w:w="125" w:type="dxa"/>
            </w:tcMar>
            <w:vAlign w:val="center"/>
            <w:shd w:fill="F5F8FA"/>
          </w:tcPr>
          <w:p>
            <w:pPr>
              <w:spacing w:after="0" w:line="252" w:lineRule="auto"/>
            </w:pPr>
            <w:r>
              <w:rPr>
                <w:sz w:val="16"/>
              </w:rPr>
              <w:t>Follow-up comparison</w:t>
            </w:r>
          </w:p>
        </w:tc>
        <w:tc>
          <w:tcPr>
            <w:tcW w:type="dxa" w:w="6552"/>
            <w:tcMar>
              <w:top w:w="105" w:type="dxa"/>
              <w:start w:w="125" w:type="dxa"/>
              <w:bottom w:w="105" w:type="dxa"/>
              <w:end w:w="125" w:type="dxa"/>
            </w:tcMar>
            <w:vAlign w:val="center"/>
            <w:shd w:fill="F5F8FA"/>
          </w:tcPr>
          <w:p>
            <w:pPr>
              <w:spacing w:after="0" w:line="252" w:lineRule="auto"/>
            </w:pPr>
            <w:r>
              <w:rPr>
                <w:sz w:val="16"/>
              </w:rPr>
              <w:t>Preserves longitudinal context without automatically judging improvement or deterioration.</w:t>
            </w:r>
          </w:p>
        </w:tc>
      </w:tr>
      <w:tr>
        <w:tc>
          <w:tcPr>
            <w:tcW w:type="dxa" w:w="3096"/>
            <w:tcMar>
              <w:top w:w="105" w:type="dxa"/>
              <w:start w:w="125" w:type="dxa"/>
              <w:bottom w:w="105" w:type="dxa"/>
              <w:end w:w="125" w:type="dxa"/>
            </w:tcMar>
            <w:vAlign w:val="center"/>
          </w:tcPr>
          <w:p>
            <w:pPr>
              <w:spacing w:after="0" w:line="252" w:lineRule="auto"/>
            </w:pPr>
            <w:r>
              <w:rPr>
                <w:sz w:val="16"/>
              </w:rPr>
              <w:t>Report clarification</w:t>
            </w:r>
          </w:p>
        </w:tc>
        <w:tc>
          <w:tcPr>
            <w:tcW w:type="dxa" w:w="6552"/>
            <w:tcMar>
              <w:top w:w="105" w:type="dxa"/>
              <w:start w:w="125" w:type="dxa"/>
              <w:bottom w:w="105" w:type="dxa"/>
              <w:end w:w="125" w:type="dxa"/>
            </w:tcMar>
            <w:vAlign w:val="center"/>
          </w:tcPr>
          <w:p>
            <w:pPr>
              <w:spacing w:after="0" w:line="252" w:lineRule="auto"/>
            </w:pPr>
            <w:r>
              <w:rPr>
                <w:sz w:val="16"/>
              </w:rPr>
              <w:t>Keeps questions linked to the reviewed report; it does not change the triage category.</w:t>
            </w:r>
          </w:p>
        </w:tc>
      </w:tr>
    </w:tbl>
    <w:p>
      <w:pPr>
        <w:spacing w:after="0"/>
      </w:pPr>
    </w:p>
    <w:p>
      <w:pPr>
        <w:keepNext/>
        <w:jc w:val="center"/>
      </w:pPr>
      <w:r>
        <w:drawing>
          <wp:inline xmlns:a="http://schemas.openxmlformats.org/drawingml/2006/main" xmlns:pic="http://schemas.openxmlformats.org/drawingml/2006/picture">
            <wp:extent cx="5715000" cy="2931401"/>
            <wp:docPr id="4" name="Picture 4" descr="Figure 4  The radiology order queue supplies the studies that enter triage" title="Figure 4  The radiology order queue supplies the studies that enter triage"/>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715000" cy="2931401"/>
                    </a:xfrm>
                    <a:prstGeom prst="rect"/>
                  </pic:spPr>
                </pic:pic>
              </a:graphicData>
            </a:graphic>
          </wp:inline>
        </w:drawing>
      </w:r>
    </w:p>
    <w:p>
      <w:pPr>
        <w:pStyle w:val="Caption"/>
        <w:jc w:val="center"/>
      </w:pPr>
      <w:r>
        <w:t>Figure 4  The radiology order queue supplies the studies that enter triage</w:t>
      </w:r>
    </w:p>
    <w:p>
      <w:pPr>
        <w:pStyle w:val="Heading2"/>
        <w:keepNext/>
        <w:pageBreakBefore/>
      </w:pPr>
      <w:r>
        <w:t>Analysis Status Visibility</w:t>
      </w:r>
    </w:p>
    <w:p>
      <w:pPr>
        <w:pStyle w:val="BodyText"/>
      </w:pPr>
      <w:r>
        <w:t>PACS monitoring helps operations confirm that eligible studies have been analysed and made available to the prioritised worklist. This is supporting operational visibility rather than the prioritisation decision itself.</w:t>
      </w:r>
    </w:p>
    <w:p>
      <w:pPr>
        <w:keepNext/>
        <w:jc w:val="center"/>
      </w:pPr>
      <w:r>
        <w:drawing>
          <wp:inline xmlns:a="http://schemas.openxmlformats.org/drawingml/2006/main" xmlns:pic="http://schemas.openxmlformats.org/drawingml/2006/picture">
            <wp:extent cx="5715000" cy="2923499"/>
            <wp:docPr id="5" name="Picture 5" descr="Figure 5  PACS monitoring supports visibility of study analysis state" title="Figure 5  PACS monitoring supports visibility of study analysis state"/>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5715000" cy="2923499"/>
                    </a:xfrm>
                    <a:prstGeom prst="rect"/>
                  </pic:spPr>
                </pic:pic>
              </a:graphicData>
            </a:graphic>
          </wp:inline>
        </w:drawing>
      </w:r>
    </w:p>
    <w:p>
      <w:pPr>
        <w:pStyle w:val="Caption"/>
        <w:jc w:val="center"/>
      </w:pPr>
      <w:r>
        <w:t>Figure 5  PACS monitoring supports visibility of study analysis state</w:t>
      </w:r>
    </w:p>
    <w:p>
      <w:pPr>
        <w:pStyle w:val="Heading1"/>
        <w:keepNext/>
        <w:pageBreakBefore/>
      </w:pPr>
      <w:r>
        <w:t>Conclusion</w:t>
      </w:r>
    </w:p>
    <w:p>
      <w:pPr>
        <w:pStyle w:val="BodyText"/>
      </w:pPr>
      <w:r>
        <w:t>The AI Diagnostic and Radiology Screening Triage Assistant should be evaluated first as a study-prioritisation system. Its core value proposition is simple: when radiologists face a queue of chest X-rays, the system uses two screening signals and a transparent rule to move studies with stronger signals closer to the top, while keeping the radiologist responsible for the final interpretation.</w:t>
      </w:r>
    </w:p>
    <w:p>
      <w:pPr>
        <w:pStyle w:val="BodyText"/>
      </w:pPr>
      <w:r>
        <w:t>The next decision is therefore not whether the platform can support every adjacent radiology workflow. It is whether triage categories improve time to review at an acceptable false-alert burden, without delaying routine studies or encouraging automation bias. A shadow-mode pilot with explicit thresholds, queue metrics, reader feedback, and rollback criteria is the appropriate next step.</w:t>
      </w:r>
    </w:p>
    <w:p>
      <w:pPr>
        <w:pStyle w:val="Heading2"/>
        <w:keepNext/>
      </w:pPr>
      <w:r>
        <w:t>Current Scope</w:t>
      </w:r>
    </w:p>
    <w:p>
      <w:pPr>
        <w:pStyle w:val="BodyText"/>
      </w:pPr>
      <w:r>
        <w:t>Chest X-ray PA, AP, and paired PA plus AP studies. Other modalities, autonomous diagnosis, automated emergency paging, patient notification, billing, and formal report addenda remain outside the current scope.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0"/>
        <w:sz w:val="16"/>
      </w:rPr>
      <w:t xml:space="preserve">Meridian Healthcare Platform   |   Triage Prioritisation Case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ptos" w:hAnsi="Aptos"/>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Radiology Study Triage and Complete Request to Clarification Workflow</dc:title>
  <dc:subject>End-to-end chest X-ray case study with triage prioritisation as the primary use case</dc:subject>
  <dc:creator>Meridian Healthcare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