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D222" w14:textId="77777777" w:rsidR="00EE093F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LLM-Based Predictions for the Discharge Summary Module</w:t>
      </w:r>
    </w:p>
    <w:p w14:paraId="50DC3931" w14:textId="77777777" w:rsidR="00EE093F" w:rsidRDefault="00000000">
      <w:pPr>
        <w:pBdr>
          <w:bottom w:val="single" w:sz="8" w:space="4" w:color="1F3864"/>
        </w:pBdr>
        <w:spacing w:after="200"/>
      </w:pPr>
      <w:proofErr w:type="spellStart"/>
      <w:r>
        <w:rPr>
          <w:color w:val="595959"/>
          <w:sz w:val="26"/>
          <w:szCs w:val="26"/>
        </w:rPr>
        <w:t>MedSysB</w:t>
      </w:r>
      <w:proofErr w:type="spellEnd"/>
      <w:r>
        <w:rPr>
          <w:color w:val="595959"/>
          <w:sz w:val="26"/>
          <w:szCs w:val="26"/>
        </w:rPr>
        <w:t xml:space="preserve"> HIMS</w:t>
      </w:r>
    </w:p>
    <w:p w14:paraId="2B8AFAA6" w14:textId="77777777" w:rsidR="00EE093F" w:rsidRDefault="00000000">
      <w:pPr>
        <w:spacing w:after="120" w:line="276" w:lineRule="auto"/>
      </w:pPr>
      <w:r>
        <w:t>An LLM (Large Language Model) can make the discharge summary module more intelligent by predicting clinical risks, post-discharge complications, readmission risk, follow-up needs, medication-related issues and patient-specific discharge instructions from the available patient record.</w:t>
      </w:r>
    </w:p>
    <w:p w14:paraId="0DBE70B9" w14:textId="77777777" w:rsidR="00EE093F" w:rsidRDefault="00000000">
      <w:pPr>
        <w:spacing w:after="120" w:line="276" w:lineRule="auto"/>
      </w:pPr>
      <w:r>
        <w:t>The recommended design combines LLM capabilities with hospital data, validated clinical prediction models and clinician approval. The LLM must not make clinical decisions on its own.</w:t>
      </w:r>
    </w:p>
    <w:p w14:paraId="5DF72872" w14:textId="77777777" w:rsidR="00EE093F" w:rsidRDefault="00000000">
      <w:pPr>
        <w:pStyle w:val="Heading1"/>
        <w:keepNext/>
      </w:pPr>
      <w:r>
        <w:t>1. Core Predictions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100"/>
        <w:gridCol w:w="3300"/>
        <w:gridCol w:w="3460"/>
      </w:tblGrid>
      <w:tr w:rsidR="00EE093F" w14:paraId="056AC2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782F0" w14:textId="77777777" w:rsidR="00EE093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7361B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Prediction</w:t>
            </w:r>
          </w:p>
        </w:tc>
        <w:tc>
          <w:tcPr>
            <w:tcW w:w="3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3B301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What it predicts or identifies</w:t>
            </w:r>
          </w:p>
        </w:tc>
        <w:tc>
          <w:tcPr>
            <w:tcW w:w="34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6F752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Inputs used</w:t>
            </w:r>
          </w:p>
        </w:tc>
      </w:tr>
      <w:tr w:rsidR="00EE093F" w14:paraId="14E19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6E7E1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A94A1" w14:textId="77777777" w:rsidR="00EE093F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Readmission Risk Prediction</w:t>
            </w:r>
          </w:p>
          <w:p w14:paraId="38E4C1ED" w14:textId="77777777" w:rsidR="00EE093F" w:rsidRDefault="00000000">
            <w:pPr>
              <w:spacing w:after="20"/>
            </w:pPr>
            <w:r>
              <w:rPr>
                <w:color w:val="C00000"/>
                <w:sz w:val="19"/>
                <w:szCs w:val="19"/>
              </w:rPr>
              <w:t>(High priority)</w:t>
            </w:r>
          </w:p>
        </w:tc>
        <w:tc>
          <w:tcPr>
            <w:tcW w:w="3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067FB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Predicts whether the patient may need hospital readmission within a defined period, such as 7 or 30 days.</w:t>
            </w:r>
          </w:p>
        </w:tc>
        <w:tc>
          <w:tcPr>
            <w:tcW w:w="34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1DB94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Previous admissions, diagnosis, comorbidities, length of stay, abnormal lab results, medication changes, discharge condition.</w:t>
            </w:r>
          </w:p>
        </w:tc>
      </w:tr>
      <w:tr w:rsidR="00EE093F" w14:paraId="1F1C6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FDEFD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A6447" w14:textId="77777777" w:rsidR="00EE093F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Post-Discharge Complication Risk</w:t>
            </w:r>
          </w:p>
        </w:tc>
        <w:tc>
          <w:tcPr>
            <w:tcW w:w="3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5E5DC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Identifies patients at increased risk of deterioration or complications after discharge, e.g. wound infection, worsening heart failure, respiratory deterioration, uncontrolled diabetes, post-surgical complications.</w:t>
            </w:r>
          </w:p>
        </w:tc>
        <w:tc>
          <w:tcPr>
            <w:tcW w:w="34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0229B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Diagnosis, procedure, vitals and lab trends, comorbidities, wound status, discharge condition.</w:t>
            </w:r>
          </w:p>
        </w:tc>
      </w:tr>
      <w:tr w:rsidR="00EE093F" w14:paraId="4C33B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37A83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FC796" w14:textId="77777777" w:rsidR="00EE093F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Medication Safety Prediction</w:t>
            </w:r>
          </w:p>
        </w:tc>
        <w:tc>
          <w:tcPr>
            <w:tcW w:w="3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890B9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Flags drug interactions, duplicate therapy, allergy conflicts, contraindications, dosing concerns and medication discrepancies.</w:t>
            </w:r>
          </w:p>
        </w:tc>
        <w:tc>
          <w:tcPr>
            <w:tcW w:w="34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4CAC5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Inpatient medications, home medications, discharge prescriptions, allergies, renal function, age, documented clinical factors.</w:t>
            </w:r>
          </w:p>
        </w:tc>
      </w:tr>
      <w:tr w:rsidR="00EE093F" w14:paraId="72D2A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0A8B8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58922" w14:textId="77777777" w:rsidR="00EE093F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Follow-Up Priority Prediction</w:t>
            </w:r>
          </w:p>
        </w:tc>
        <w:tc>
          <w:tcPr>
            <w:tcW w:w="3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AEBF1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Suggests which patients need earlier review and which specialties should follow up.</w:t>
            </w:r>
          </w:p>
        </w:tc>
        <w:tc>
          <w:tcPr>
            <w:tcW w:w="34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A4980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Diagnosis, disease severity, abnormal results, procedure performed, ongoing treatment, pending investigations.</w:t>
            </w:r>
          </w:p>
        </w:tc>
      </w:tr>
      <w:tr w:rsidR="00EE093F" w14:paraId="6A379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71059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AE87E" w14:textId="77777777" w:rsidR="00EE093F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Discharge Readiness Support</w:t>
            </w:r>
          </w:p>
        </w:tc>
        <w:tc>
          <w:tcPr>
            <w:tcW w:w="3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61287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Identifies missing discharge requirements and unresolved issues before a clinician approves discharge, e.g. pending critical results, undocumented medication reconciliation, missing follow-up arrangements, incomplete instructions.</w:t>
            </w:r>
          </w:p>
        </w:tc>
        <w:tc>
          <w:tcPr>
            <w:tcW w:w="34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175F9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Orders, results status, medication reconciliation status, follow-up bookings, discharge instruction fields.</w:t>
            </w:r>
          </w:p>
        </w:tc>
      </w:tr>
    </w:tbl>
    <w:p w14:paraId="178191FE" w14:textId="59F16A9D" w:rsidR="00EE093F" w:rsidRDefault="00B14041">
      <w:pPr>
        <w:pStyle w:val="Heading1"/>
        <w:keepNext/>
        <w:pageBreakBefore/>
        <w:spacing w:before="0"/>
      </w:pPr>
      <w:r>
        <w:lastRenderedPageBreak/>
        <w:t>2</w:t>
      </w:r>
      <w:r w:rsidR="00000000">
        <w:t>. When Each Prediction Can Be Applied</w:t>
      </w:r>
    </w:p>
    <w:p w14:paraId="60CA7578" w14:textId="715CB31A" w:rsidR="00EE093F" w:rsidRDefault="00000000">
      <w:pPr>
        <w:spacing w:after="120" w:line="276" w:lineRule="auto"/>
      </w:pPr>
      <w:r>
        <w:t xml:space="preserve">Predictions can be run at different points of the patient journey. The table below shows where each of the </w:t>
      </w:r>
      <w:r w:rsidR="00A333CF">
        <w:t xml:space="preserve">5 </w:t>
      </w:r>
      <w:r>
        <w:t>predictions applies, followed by what happens at each stage.</w:t>
      </w:r>
    </w:p>
    <w:p w14:paraId="52095F46" w14:textId="4FFA3FF3" w:rsidR="00EE093F" w:rsidRDefault="00B14041">
      <w:pPr>
        <w:pStyle w:val="Heading2"/>
        <w:keepNext/>
      </w:pPr>
      <w:r>
        <w:t>2</w:t>
      </w:r>
      <w:r w:rsidR="00000000">
        <w:t>.1 Prediction timing matrix</w:t>
      </w:r>
    </w:p>
    <w:tbl>
      <w:tblPr>
        <w:tblW w:w="90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"/>
        <w:gridCol w:w="3027"/>
        <w:gridCol w:w="1373"/>
        <w:gridCol w:w="1369"/>
        <w:gridCol w:w="1369"/>
        <w:gridCol w:w="1463"/>
      </w:tblGrid>
      <w:tr w:rsidR="00EE093F" w14:paraId="0E1A3A84" w14:textId="77777777" w:rsidTr="00B1404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8E2BC" w14:textId="77777777" w:rsidR="00EE093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302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F2C20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Prediction</w:t>
            </w:r>
          </w:p>
        </w:tc>
        <w:tc>
          <w:tcPr>
            <w:tcW w:w="137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C9BB2" w14:textId="77777777" w:rsidR="00EE093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 admission / during stay</w:t>
            </w: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DCDDC" w14:textId="77777777" w:rsidR="00EE093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Before discharge</w:t>
            </w: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F54B9" w14:textId="77777777" w:rsidR="00EE093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 discharge</w:t>
            </w:r>
          </w:p>
        </w:tc>
        <w:tc>
          <w:tcPr>
            <w:tcW w:w="146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23B4F" w14:textId="77777777" w:rsidR="00EE093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After discharge</w:t>
            </w:r>
          </w:p>
        </w:tc>
      </w:tr>
      <w:tr w:rsidR="00EE093F" w14:paraId="7EDB860A" w14:textId="77777777" w:rsidTr="00B140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39440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2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B1ADC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Readmission Risk</w:t>
            </w:r>
          </w:p>
        </w:tc>
        <w:tc>
          <w:tcPr>
            <w:tcW w:w="137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2724B" w14:textId="77777777" w:rsidR="00EE093F" w:rsidRDefault="00EE093F">
            <w:pPr>
              <w:spacing w:after="40"/>
              <w:jc w:val="center"/>
            </w:pP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77134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E9614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46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07454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</w:tr>
      <w:tr w:rsidR="00EE093F" w14:paraId="7B36165A" w14:textId="77777777" w:rsidTr="00B140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2316E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2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F3648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Post-Discharge Complication Risk</w:t>
            </w:r>
          </w:p>
        </w:tc>
        <w:tc>
          <w:tcPr>
            <w:tcW w:w="137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24284" w14:textId="77777777" w:rsidR="00EE093F" w:rsidRDefault="00EE093F">
            <w:pPr>
              <w:spacing w:after="40"/>
              <w:jc w:val="center"/>
            </w:pP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EC467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18665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46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DCEDF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</w:tr>
      <w:tr w:rsidR="00EE093F" w14:paraId="7E62461E" w14:textId="77777777" w:rsidTr="00B140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476A0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2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7C2BF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Medication Safety</w:t>
            </w:r>
          </w:p>
        </w:tc>
        <w:tc>
          <w:tcPr>
            <w:tcW w:w="137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70570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84A78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D9A96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46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040C9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</w:tr>
      <w:tr w:rsidR="00EE093F" w14:paraId="4E0E0602" w14:textId="77777777" w:rsidTr="00B140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8EAB5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2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0D456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Follow-Up Priority</w:t>
            </w:r>
          </w:p>
        </w:tc>
        <w:tc>
          <w:tcPr>
            <w:tcW w:w="137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E8BA7" w14:textId="77777777" w:rsidR="00EE093F" w:rsidRDefault="00EE093F">
            <w:pPr>
              <w:spacing w:after="40"/>
              <w:jc w:val="center"/>
            </w:pP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09084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4BB66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46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5E84F" w14:textId="77777777" w:rsidR="00EE093F" w:rsidRDefault="00EE093F">
            <w:pPr>
              <w:spacing w:after="40"/>
              <w:jc w:val="center"/>
            </w:pPr>
          </w:p>
        </w:tc>
      </w:tr>
      <w:tr w:rsidR="00EE093F" w14:paraId="661B51E5" w14:textId="77777777" w:rsidTr="00B140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94895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2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22509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Discharge Readiness</w:t>
            </w:r>
          </w:p>
        </w:tc>
        <w:tc>
          <w:tcPr>
            <w:tcW w:w="137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3D137" w14:textId="77777777" w:rsidR="00EE093F" w:rsidRDefault="00EE093F">
            <w:pPr>
              <w:spacing w:after="40"/>
              <w:jc w:val="center"/>
            </w:pP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E0A10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3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4F4E9" w14:textId="77777777" w:rsidR="00EE093F" w:rsidRDefault="00000000">
            <w:pPr>
              <w:spacing w:after="40"/>
              <w:jc w:val="center"/>
            </w:pPr>
            <w:r>
              <w:rPr>
                <w:color w:val="1F6F3F"/>
                <w:sz w:val="19"/>
                <w:szCs w:val="19"/>
              </w:rPr>
              <w:t>●</w:t>
            </w:r>
          </w:p>
        </w:tc>
        <w:tc>
          <w:tcPr>
            <w:tcW w:w="146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4541A" w14:textId="77777777" w:rsidR="00EE093F" w:rsidRDefault="00EE093F">
            <w:pPr>
              <w:spacing w:after="40"/>
              <w:jc w:val="center"/>
            </w:pPr>
          </w:p>
        </w:tc>
      </w:tr>
    </w:tbl>
    <w:p w14:paraId="28E423B2" w14:textId="77777777" w:rsidR="00EE093F" w:rsidRDefault="00EE093F">
      <w:pPr>
        <w:spacing w:after="80"/>
      </w:pPr>
    </w:p>
    <w:p w14:paraId="533A1E2F" w14:textId="77777777" w:rsidR="00EE093F" w:rsidRDefault="00000000">
      <w:pPr>
        <w:spacing w:after="120" w:line="276" w:lineRule="auto"/>
      </w:pPr>
      <w:r>
        <w:rPr>
          <w:color w:val="595959"/>
          <w:sz w:val="18"/>
          <w:szCs w:val="18"/>
        </w:rPr>
        <w:t>● = prediction can be applied at this stage.</w:t>
      </w:r>
    </w:p>
    <w:p w14:paraId="77A4C597" w14:textId="40E9A18B" w:rsidR="00EE093F" w:rsidRDefault="00A333CF">
      <w:pPr>
        <w:pStyle w:val="Heading2"/>
        <w:keepNext/>
      </w:pPr>
      <w:r>
        <w:t>2</w:t>
      </w:r>
      <w:r w:rsidR="00000000">
        <w:t>.2 What happens at each stage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560"/>
        <w:gridCol w:w="2200"/>
      </w:tblGrid>
      <w:tr w:rsidR="00EE093F" w14:paraId="69EB69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D2DDE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54270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Timing</w:t>
            </w:r>
          </w:p>
        </w:tc>
        <w:tc>
          <w:tcPr>
            <w:tcW w:w="35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2A3A5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What the AI predicts or checks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CCC6D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Output for the clinician or care team</w:t>
            </w:r>
          </w:p>
        </w:tc>
      </w:tr>
      <w:tr w:rsidR="00EE093F" w14:paraId="55E8B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A8581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1. At admission / early stay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055F7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Day 0 to Day 1, then updated daily</w:t>
            </w:r>
          </w:p>
        </w:tc>
        <w:tc>
          <w:tcPr>
            <w:tcW w:w="35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ED619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Length-of-stay forecast; baseline specialty risk; deterioration watch from vitals and labs; start of medication reconciliation and allergy/interaction checks; early flag for infection indicators and caregiver needs.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8502D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Early discharge-planning targets and a list of items to prepare during the stay.</w:t>
            </w:r>
          </w:p>
        </w:tc>
      </w:tr>
      <w:tr w:rsidR="00EE093F" w14:paraId="63C3B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FCE02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2. Before discharge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F1BF5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From about 24 to 48 hours before the expected discharge, refreshed daily</w:t>
            </w:r>
          </w:p>
        </w:tc>
        <w:tc>
          <w:tcPr>
            <w:tcW w:w="35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0822A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7-/30-day readmission risk; post-discharge complication risk; discharge readiness and unresolved issues; pending investigations; disease control; wound and infection status; follow-up priority and specialty; compliance barriers; education and caregiver needs; documentation completeness.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E37E9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A pre-discharge review list so gaps are closed before the discharge order, not after.</w:t>
            </w:r>
          </w:p>
        </w:tc>
      </w:tr>
      <w:tr w:rsidR="00EE093F" w14:paraId="11571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F57AF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3. At discharge (final check)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3C50A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When the discharge summary is drafted, before the clinician signs</w:t>
            </w:r>
          </w:p>
        </w:tc>
        <w:tc>
          <w:tcPr>
            <w:tcW w:w="35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B031F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Final re-score of readmission and emergency visit risk; plan gap detection across diagnosis, treatment, medications and follow-up; final medication safety check on discharge prescriptions; follow-up date, department and non-attendance risk; ICD-10 code suggestions; completeness of the summary.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3AB14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A reviewed discharge summary with supporting evidence; the clinician accepts, edits or rejects each AI suggestion.</w:t>
            </w:r>
          </w:p>
        </w:tc>
      </w:tr>
      <w:tr w:rsidR="00EE093F" w14:paraId="2B0C3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34A8B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4. After discharge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F9CC6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Day 0 to Day 30 (typically checkpoints at 48 hours, 7 days and 30 days)</w:t>
            </w:r>
          </w:p>
        </w:tc>
        <w:tc>
          <w:tcPr>
            <w:tcW w:w="35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E2F73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Re-scored 7-/30-day readmission and emergency visit risk using new data; alerts for pending reports that return after discharge; complication warning for wound, infection, heart failure, respiratory or glucose problems; adherence and refill gaps; non-attendance reminders and rescheduling; coding follow-up.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F083F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A follow-up worklist for the care team (call-back, earlier review, result action). Needs post-discharge data: OPD visits, patient-reported symptoms, readmissions and results.</w:t>
            </w:r>
          </w:p>
        </w:tc>
      </w:tr>
    </w:tbl>
    <w:p w14:paraId="0FD76651" w14:textId="77777777" w:rsidR="00EE093F" w:rsidRDefault="00EE093F">
      <w:pPr>
        <w:spacing w:after="80"/>
      </w:pPr>
    </w:p>
    <w:p w14:paraId="557CDED5" w14:textId="77777777" w:rsidR="00EE093F" w:rsidRDefault="00000000">
      <w:pPr>
        <w:spacing w:after="120" w:line="276" w:lineRule="auto"/>
      </w:pPr>
      <w:r>
        <w:rPr>
          <w:b/>
          <w:bCs/>
        </w:rPr>
        <w:t xml:space="preserve">Note: </w:t>
      </w:r>
      <w:r>
        <w:t>Predictions applied after discharge need a data feed from outside the inpatient record (OPD follow-up visits, patient-reported symptoms, readmission and emergency records, late-arriving results) and appropriate patient consent and privacy controls.</w:t>
      </w:r>
    </w:p>
    <w:p w14:paraId="327D6E11" w14:textId="1A736BA4" w:rsidR="00EE093F" w:rsidRDefault="003800A3">
      <w:pPr>
        <w:pStyle w:val="Heading1"/>
        <w:keepNext/>
      </w:pPr>
      <w:r>
        <w:t>3</w:t>
      </w:r>
      <w:r w:rsidR="00000000">
        <w:t>. Recommended AI Discharge Summary Dashboard</w:t>
      </w:r>
    </w:p>
    <w:p w14:paraId="10F4501B" w14:textId="77777777" w:rsidR="00EE093F" w:rsidRDefault="00000000">
      <w:pPr>
        <w:spacing w:after="120" w:line="276" w:lineRule="auto"/>
      </w:pPr>
      <w:r>
        <w:t xml:space="preserve">The following is an illustrative design for the </w:t>
      </w:r>
      <w:proofErr w:type="spellStart"/>
      <w:r>
        <w:t>MedSysB</w:t>
      </w:r>
      <w:proofErr w:type="spellEnd"/>
      <w:r>
        <w:t xml:space="preserve"> discharge screen. It uses sample labels only; no actual patient data has been evaluated, and the mock-up does not establish any patient’s clinical risk.</w:t>
      </w:r>
    </w:p>
    <w:p w14:paraId="07B1CBB1" w14:textId="5131A834" w:rsidR="00EE093F" w:rsidRDefault="003800A3">
      <w:pPr>
        <w:pStyle w:val="Heading2"/>
        <w:keepNext/>
      </w:pPr>
      <w:r>
        <w:t>3</w:t>
      </w:r>
      <w:r w:rsidR="00000000">
        <w:t>.1 AI Discharge Intelligence panel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EE093F" w14:paraId="1A5C86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FFB66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C5771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3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3464C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EE093F" w14:paraId="21B9A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3EC13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Readmission assessment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48EF6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Review required</w:t>
            </w:r>
          </w:p>
        </w:tc>
        <w:tc>
          <w:tcPr>
            <w:tcW w:w="43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D4916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7-/30-day assessment pending</w:t>
            </w:r>
          </w:p>
        </w:tc>
      </w:tr>
      <w:tr w:rsidR="00EE093F" w14:paraId="686CF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08C80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Medication review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AEA7C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Verification</w:t>
            </w:r>
          </w:p>
        </w:tc>
        <w:tc>
          <w:tcPr>
            <w:tcW w:w="43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264AB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Prescription reconciliation</w:t>
            </w:r>
          </w:p>
        </w:tc>
      </w:tr>
      <w:tr w:rsidR="00EE093F" w14:paraId="188EE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E5A00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Pending reports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F96DA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Check status</w:t>
            </w:r>
          </w:p>
        </w:tc>
        <w:tc>
          <w:tcPr>
            <w:tcW w:w="43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B15C4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Investigations and ownership</w:t>
            </w:r>
          </w:p>
        </w:tc>
      </w:tr>
      <w:tr w:rsidR="00EE093F" w14:paraId="1303B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1FC9B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Discharge completeness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4A577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43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CBA4B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Required sections and signatures</w:t>
            </w:r>
          </w:p>
        </w:tc>
      </w:tr>
    </w:tbl>
    <w:p w14:paraId="10912AB0" w14:textId="446403D4" w:rsidR="00EE093F" w:rsidRDefault="003800A3">
      <w:pPr>
        <w:pStyle w:val="Heading2"/>
        <w:keepNext/>
      </w:pPr>
      <w:r>
        <w:t>3</w:t>
      </w:r>
      <w:r w:rsidR="00000000">
        <w:t>.2 AI-generated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E093F" w14:paraId="3141FE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F5CAF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  <w:tc>
          <w:tcPr>
            <w:tcW w:w="65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368A2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E093F" w14:paraId="1FE33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D1A57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Discharge document review</w:t>
            </w:r>
          </w:p>
        </w:tc>
        <w:tc>
          <w:tcPr>
            <w:tcW w:w="65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84B08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Verify that the final diagnosis, medication reconciliation, discharge condition and follow-up plan are complete.</w:t>
            </w:r>
          </w:p>
        </w:tc>
      </w:tr>
      <w:tr w:rsidR="00EE093F" w14:paraId="60DDF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74E94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Clinical review</w:t>
            </w:r>
          </w:p>
        </w:tc>
        <w:tc>
          <w:tcPr>
            <w:tcW w:w="65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E6AA4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Review any abnormal results, unresolved clinical issues or pending investigations identified from the patient’s actual record.</w:t>
            </w:r>
          </w:p>
        </w:tc>
      </w:tr>
      <w:tr w:rsidR="00EE093F" w14:paraId="10F6C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B536B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Follow-up planning</w:t>
            </w:r>
          </w:p>
        </w:tc>
        <w:tc>
          <w:tcPr>
            <w:tcW w:w="65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C14CC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Suggest follow-up requirements based on diagnosis, treatment, specialty protocols and clinician-approved plans.</w:t>
            </w:r>
          </w:p>
        </w:tc>
      </w:tr>
    </w:tbl>
    <w:p w14:paraId="66A2C2BD" w14:textId="5EE7EBFD" w:rsidR="00EE093F" w:rsidRDefault="003800A3">
      <w:pPr>
        <w:pStyle w:val="Heading1"/>
        <w:keepNext/>
      </w:pPr>
      <w:r>
        <w:t>4</w:t>
      </w:r>
      <w:r w:rsidR="00000000">
        <w:t xml:space="preserve">. How to Implement LLM Predictions in </w:t>
      </w:r>
      <w:proofErr w:type="spellStart"/>
      <w:r w:rsidR="00000000">
        <w:t>MedSysB</w:t>
      </w:r>
      <w:proofErr w:type="spellEnd"/>
    </w:p>
    <w:p w14:paraId="0D15B9E9" w14:textId="77777777" w:rsidR="00EE093F" w:rsidRDefault="00000000">
      <w:pPr>
        <w:spacing w:after="120" w:line="276" w:lineRule="auto"/>
      </w:pPr>
      <w:r>
        <w:t>A hybrid architecture is recommended rather than using an LLM alone for every prediction.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960"/>
      </w:tblGrid>
      <w:tr w:rsidR="00EE093F" w14:paraId="49B8A1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9CCAE" w14:textId="77777777" w:rsidR="00EE093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DE90E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59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2A09F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EE093F" w14:paraId="75A0F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2CA46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6B2C1" w14:textId="77777777" w:rsidR="00EE093F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MedSysB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patient data</w:t>
            </w:r>
          </w:p>
        </w:tc>
        <w:tc>
          <w:tcPr>
            <w:tcW w:w="59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448FD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IP records, diagnoses, vitals, lab results, medications and procedures.</w:t>
            </w:r>
          </w:p>
        </w:tc>
      </w:tr>
      <w:tr w:rsidR="00EE093F" w14:paraId="1B454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C804F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32200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Data quality and clinical rules</w:t>
            </w:r>
          </w:p>
        </w:tc>
        <w:tc>
          <w:tcPr>
            <w:tcW w:w="59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C48E4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Validate missing fields, timestamps, clinical context and data consistency.</w:t>
            </w:r>
          </w:p>
        </w:tc>
      </w:tr>
      <w:tr w:rsidR="00EE093F" w14:paraId="260B4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236F5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33FC7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LLM engine</w:t>
            </w:r>
          </w:p>
        </w:tc>
        <w:tc>
          <w:tcPr>
            <w:tcW w:w="59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288EA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Summarization, gap detection, explanation and instruction drafting.</w:t>
            </w:r>
          </w:p>
        </w:tc>
      </w:tr>
      <w:tr w:rsidR="00EE093F" w14:paraId="088BB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CB3A6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4966F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Validated predictive models</w:t>
            </w:r>
          </w:p>
        </w:tc>
        <w:tc>
          <w:tcPr>
            <w:tcW w:w="59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C03D3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Readmission probabilities, risk classification and outcome forecasting.</w:t>
            </w:r>
          </w:p>
        </w:tc>
      </w:tr>
      <w:tr w:rsidR="00EE093F" w14:paraId="6B1F2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E55D1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F3872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Clinician review dashboard</w:t>
            </w:r>
          </w:p>
        </w:tc>
        <w:tc>
          <w:tcPr>
            <w:tcW w:w="59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561A1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Prediction, rationale, supporting data, missing information and review status.</w:t>
            </w:r>
          </w:p>
        </w:tc>
      </w:tr>
      <w:tr w:rsidR="00EE093F" w14:paraId="60431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5156D" w14:textId="77777777" w:rsidR="00EE093F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3AF52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Approved discharge summary</w:t>
            </w:r>
          </w:p>
        </w:tc>
        <w:tc>
          <w:tcPr>
            <w:tcW w:w="59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9A386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The authorized clinician approves the summary and the applicable follow-up plan.</w:t>
            </w:r>
          </w:p>
        </w:tc>
      </w:tr>
    </w:tbl>
    <w:p w14:paraId="07F5542B" w14:textId="77777777" w:rsidR="00EE093F" w:rsidRDefault="00EE093F">
      <w:pPr>
        <w:spacing w:after="80"/>
      </w:pPr>
    </w:p>
    <w:p w14:paraId="69AAB109" w14:textId="77777777" w:rsidR="00EE093F" w:rsidRDefault="00000000">
      <w:pPr>
        <w:spacing w:after="120" w:line="276" w:lineRule="auto"/>
      </w:pPr>
      <w:r>
        <w:rPr>
          <w:b/>
          <w:bCs/>
        </w:rPr>
        <w:t xml:space="preserve">Why use both? </w:t>
      </w:r>
      <w:r>
        <w:t>Published research indicates that LLM-generated discharge summaries can be useful but may omit important details or contain errors, and that predicting clinical outcomes with LLMs remains challenging compared with conventional predictive models.</w:t>
      </w:r>
    </w:p>
    <w:p w14:paraId="5456A80B" w14:textId="19A114B7" w:rsidR="00EE093F" w:rsidRDefault="003800A3">
      <w:pPr>
        <w:pStyle w:val="Heading1"/>
        <w:keepNext/>
      </w:pPr>
      <w:r>
        <w:t>5</w:t>
      </w:r>
      <w:r w:rsidR="00000000">
        <w:t xml:space="preserve">. Priority for </w:t>
      </w:r>
      <w:proofErr w:type="spellStart"/>
      <w:r w:rsidR="00000000">
        <w:t>MedSysB</w:t>
      </w:r>
      <w:proofErr w:type="spellEnd"/>
      <w:r w:rsidR="00000000">
        <w:t xml:space="preserve">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60"/>
        <w:gridCol w:w="2400"/>
      </w:tblGrid>
      <w:tr w:rsidR="00EE093F" w14:paraId="46DE91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99EEA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57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24695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Features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A9838" w14:textId="77777777" w:rsidR="00EE093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EE093F" w14:paraId="1BAF6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66C0F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Phase 1</w:t>
            </w:r>
          </w:p>
        </w:tc>
        <w:tc>
          <w:tcPr>
            <w:tcW w:w="57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C5D4E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AI summary drafting, missing-parameter detection, medication reconciliation support, follow-up instruction drafting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45BB7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Highest</w:t>
            </w:r>
          </w:p>
        </w:tc>
      </w:tr>
      <w:tr w:rsidR="00EE093F" w14:paraId="5601C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03BBE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Phase 2</w:t>
            </w:r>
          </w:p>
        </w:tc>
        <w:tc>
          <w:tcPr>
            <w:tcW w:w="57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0BA98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Pending-report tracking, discharge completeness, abnormal-result review, patient education support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33980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EE093F" w14:paraId="729DB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24940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Phase 3</w:t>
            </w:r>
          </w:p>
        </w:tc>
        <w:tc>
          <w:tcPr>
            <w:tcW w:w="57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0E455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Validated 7-/30-day readmission models, emergency visit risk, specialty-specific prediction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460AE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High; requires clinical validation</w:t>
            </w:r>
          </w:p>
        </w:tc>
      </w:tr>
      <w:tr w:rsidR="00EE093F" w14:paraId="2B414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2C1FF" w14:textId="77777777" w:rsidR="00EE093F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Phase 4</w:t>
            </w:r>
          </w:p>
        </w:tc>
        <w:tc>
          <w:tcPr>
            <w:tcW w:w="576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9161A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Length-of-stay forecasting, adherence risk, care-resource planning, outcome monitoring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19B57" w14:textId="77777777" w:rsidR="00EE093F" w:rsidRDefault="00000000">
            <w:pPr>
              <w:spacing w:after="40"/>
            </w:pPr>
            <w:r>
              <w:rPr>
                <w:sz w:val="19"/>
                <w:szCs w:val="19"/>
              </w:rPr>
              <w:t>Advanced</w:t>
            </w:r>
          </w:p>
        </w:tc>
      </w:tr>
    </w:tbl>
    <w:p w14:paraId="021EAFB9" w14:textId="656A8D5E" w:rsidR="00EE093F" w:rsidRDefault="003800A3">
      <w:pPr>
        <w:pStyle w:val="Heading1"/>
        <w:keepNext/>
      </w:pPr>
      <w:r>
        <w:t>6</w:t>
      </w:r>
      <w:r w:rsidR="00000000">
        <w:t>. Required Controls for Clinical AI</w:t>
      </w:r>
    </w:p>
    <w:p w14:paraId="6E480A2C" w14:textId="77777777" w:rsidR="00EE093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Show the evidence and patient-record fields supporting each recommendation.</w:t>
      </w:r>
    </w:p>
    <w:p w14:paraId="5CBB1C24" w14:textId="77777777" w:rsidR="00EE093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Distinguish documented facts from AI-generated suggestions and uncertain inferences.</w:t>
      </w:r>
    </w:p>
    <w:p w14:paraId="1133800D" w14:textId="1BF2F6E7" w:rsidR="00EE093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Never </w:t>
      </w:r>
      <w:r w:rsidR="0037497B" w:rsidRPr="0037497B">
        <w:t xml:space="preserve">create </w:t>
      </w:r>
      <w:r>
        <w:t>diagnoses, laboratory values, medications or clinical findings.</w:t>
      </w:r>
    </w:p>
    <w:p w14:paraId="7FC42692" w14:textId="77777777" w:rsidR="00EE093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Require clinician review before clinical recommendations become part of the finalized discharge summary.</w:t>
      </w:r>
    </w:p>
    <w:p w14:paraId="2308A38E" w14:textId="77777777" w:rsidR="00EE093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Validate predictive performance on representative hospital data, and monitor for bias and performance drift.</w:t>
      </w:r>
    </w:p>
    <w:p w14:paraId="1D774373" w14:textId="77777777" w:rsidR="00EE093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Protect patient data through access control, audit logs, encryption and appropriate privacy safeguards.</w:t>
      </w:r>
    </w:p>
    <w:p w14:paraId="0363437C" w14:textId="77777777" w:rsidR="00EE093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Assess applicable Indian regulatory requirements and medical-device obligations for the intended clinical prediction functions.</w:t>
      </w:r>
    </w:p>
    <w:p w14:paraId="1220A213" w14:textId="77777777" w:rsidR="00EE093F" w:rsidRDefault="00000000">
      <w:pPr>
        <w:spacing w:after="120" w:line="276" w:lineRule="auto"/>
      </w:pPr>
      <w:r>
        <w:t>Clinical decision support requirements depend on what the software actually does; risk scoring and treatment-related predictions may need additional regulatory assessment.</w:t>
      </w:r>
    </w:p>
    <w:p w14:paraId="08F664F5" w14:textId="7151226A" w:rsidR="00EE093F" w:rsidRDefault="003800A3">
      <w:pPr>
        <w:pStyle w:val="Heading1"/>
        <w:keepNext/>
      </w:pPr>
      <w:r>
        <w:lastRenderedPageBreak/>
        <w:t>7</w:t>
      </w:r>
      <w:r w:rsidR="00000000">
        <w:t>. Recommendation</w:t>
      </w:r>
    </w:p>
    <w:p w14:paraId="6F8BCB5D" w14:textId="77777777" w:rsidR="00EE093F" w:rsidRDefault="00000000">
      <w:pPr>
        <w:spacing w:after="120" w:line="276" w:lineRule="auto"/>
      </w:pPr>
      <w:r>
        <w:t xml:space="preserve">Start with AI-assisted discharge summary generation, missing clinical information detection, medication reconciliation support and follow-up planning (all applied before and at discharge). Add readmission, complication and after-discharge prediction only once a suitable model has been validated for the intended patient population. This gives </w:t>
      </w:r>
      <w:proofErr w:type="spellStart"/>
      <w:r>
        <w:t>MedSysB</w:t>
      </w:r>
      <w:proofErr w:type="spellEnd"/>
      <w:r>
        <w:t xml:space="preserve"> useful AI functionality without presenting unvalidated predictions as established clinical facts.</w:t>
      </w:r>
    </w:p>
    <w:sectPr w:rsidR="00EE093F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5699" w14:textId="77777777" w:rsidR="003A42B2" w:rsidRDefault="003A42B2">
      <w:r>
        <w:separator/>
      </w:r>
    </w:p>
  </w:endnote>
  <w:endnote w:type="continuationSeparator" w:id="0">
    <w:p w14:paraId="6CB8504C" w14:textId="77777777" w:rsidR="003A42B2" w:rsidRDefault="003A4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C4F0" w14:textId="77777777" w:rsidR="00EE093F" w:rsidRDefault="00000000">
    <w:pPr>
      <w:jc w:val="center"/>
    </w:pPr>
    <w:proofErr w:type="spellStart"/>
    <w:r>
      <w:rPr>
        <w:color w:val="595959"/>
        <w:sz w:val="17"/>
        <w:szCs w:val="17"/>
      </w:rPr>
      <w:t>MedSysB</w:t>
    </w:r>
    <w:proofErr w:type="spellEnd"/>
    <w:r>
      <w:rPr>
        <w:color w:val="595959"/>
        <w:sz w:val="17"/>
        <w:szCs w:val="17"/>
      </w:rPr>
      <w:t xml:space="preserve"> HIMS – LLM Predictions   |   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B14041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00528" w14:textId="77777777" w:rsidR="003A42B2" w:rsidRDefault="003A42B2">
      <w:r>
        <w:separator/>
      </w:r>
    </w:p>
  </w:footnote>
  <w:footnote w:type="continuationSeparator" w:id="0">
    <w:p w14:paraId="3A0AAF7E" w14:textId="77777777" w:rsidR="003A42B2" w:rsidRDefault="003A42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1CC5"/>
    <w:multiLevelType w:val="hybridMultilevel"/>
    <w:tmpl w:val="4B568C60"/>
    <w:lvl w:ilvl="0" w:tplc="D312E55A" w:tentative="1">
      <w:start w:val="1"/>
      <w:numFmt w:val="bullet"/>
      <w:lvlText w:val="●"/>
      <w:lvlJc w:val="left"/>
      <w:pPr>
        <w:ind w:left="720" w:hanging="360"/>
      </w:pPr>
    </w:lvl>
    <w:lvl w:ilvl="1" w:tplc="3DB600F0" w:tentative="1">
      <w:start w:val="1"/>
      <w:numFmt w:val="bullet"/>
      <w:lvlText w:val="○"/>
      <w:lvlJc w:val="left"/>
      <w:pPr>
        <w:ind w:left="1440" w:hanging="360"/>
      </w:pPr>
    </w:lvl>
    <w:lvl w:ilvl="2" w:tplc="3C40ED10" w:tentative="1">
      <w:start w:val="1"/>
      <w:numFmt w:val="bullet"/>
      <w:lvlText w:val="■"/>
      <w:lvlJc w:val="left"/>
      <w:pPr>
        <w:ind w:left="2160" w:hanging="360"/>
      </w:pPr>
    </w:lvl>
    <w:lvl w:ilvl="3" w:tplc="0748B2C4" w:tentative="1">
      <w:start w:val="1"/>
      <w:numFmt w:val="bullet"/>
      <w:lvlText w:val="●"/>
      <w:lvlJc w:val="left"/>
      <w:pPr>
        <w:ind w:left="2880" w:hanging="360"/>
      </w:pPr>
    </w:lvl>
    <w:lvl w:ilvl="4" w:tplc="9EAA6AF6" w:tentative="1">
      <w:start w:val="1"/>
      <w:numFmt w:val="bullet"/>
      <w:lvlText w:val="○"/>
      <w:lvlJc w:val="left"/>
      <w:pPr>
        <w:ind w:left="3600" w:hanging="360"/>
      </w:pPr>
    </w:lvl>
    <w:lvl w:ilvl="5" w:tplc="D4B84D4A" w:tentative="1">
      <w:start w:val="1"/>
      <w:numFmt w:val="bullet"/>
      <w:lvlText w:val="■"/>
      <w:lvlJc w:val="left"/>
      <w:pPr>
        <w:ind w:left="4320" w:hanging="360"/>
      </w:pPr>
    </w:lvl>
    <w:lvl w:ilvl="6" w:tplc="67F0CDD4" w:tentative="1">
      <w:start w:val="1"/>
      <w:numFmt w:val="bullet"/>
      <w:lvlText w:val="●"/>
      <w:lvlJc w:val="left"/>
      <w:pPr>
        <w:ind w:left="5040" w:hanging="360"/>
      </w:pPr>
    </w:lvl>
    <w:lvl w:ilvl="7" w:tplc="DC460142" w:tentative="1">
      <w:start w:val="1"/>
      <w:numFmt w:val="bullet"/>
      <w:lvlText w:val="●"/>
      <w:lvlJc w:val="left"/>
      <w:pPr>
        <w:ind w:left="5760" w:hanging="360"/>
      </w:pPr>
    </w:lvl>
    <w:lvl w:ilvl="8" w:tplc="8F9E036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83A7F"/>
    <w:multiLevelType w:val="hybridMultilevel"/>
    <w:tmpl w:val="D8EC71AA"/>
    <w:lvl w:ilvl="0" w:tplc="12467C56">
      <w:start w:val="1"/>
      <w:numFmt w:val="bullet"/>
      <w:lvlText w:val="•"/>
      <w:lvlJc w:val="left"/>
      <w:pPr>
        <w:ind w:left="540" w:hanging="270"/>
      </w:pPr>
    </w:lvl>
    <w:lvl w:ilvl="1" w:tplc="7D0A7DC2">
      <w:numFmt w:val="decimal"/>
      <w:lvlText w:val=""/>
      <w:lvlJc w:val="left"/>
    </w:lvl>
    <w:lvl w:ilvl="2" w:tplc="0BEE2678">
      <w:numFmt w:val="decimal"/>
      <w:lvlText w:val=""/>
      <w:lvlJc w:val="left"/>
    </w:lvl>
    <w:lvl w:ilvl="3" w:tplc="302C78AE">
      <w:numFmt w:val="decimal"/>
      <w:lvlText w:val=""/>
      <w:lvlJc w:val="left"/>
    </w:lvl>
    <w:lvl w:ilvl="4" w:tplc="2D8CDB1E">
      <w:numFmt w:val="decimal"/>
      <w:lvlText w:val=""/>
      <w:lvlJc w:val="left"/>
    </w:lvl>
    <w:lvl w:ilvl="5" w:tplc="CC268CE6">
      <w:numFmt w:val="decimal"/>
      <w:lvlText w:val=""/>
      <w:lvlJc w:val="left"/>
    </w:lvl>
    <w:lvl w:ilvl="6" w:tplc="B888A78A">
      <w:numFmt w:val="decimal"/>
      <w:lvlText w:val=""/>
      <w:lvlJc w:val="left"/>
    </w:lvl>
    <w:lvl w:ilvl="7" w:tplc="02BAF060">
      <w:numFmt w:val="decimal"/>
      <w:lvlText w:val=""/>
      <w:lvlJc w:val="left"/>
    </w:lvl>
    <w:lvl w:ilvl="8" w:tplc="3192F6D2">
      <w:numFmt w:val="decimal"/>
      <w:lvlText w:val=""/>
      <w:lvlJc w:val="left"/>
    </w:lvl>
  </w:abstractNum>
  <w:num w:numId="1" w16cid:durableId="792478304">
    <w:abstractNumId w:val="0"/>
    <w:lvlOverride w:ilvl="0">
      <w:startOverride w:val="1"/>
    </w:lvlOverride>
  </w:num>
  <w:num w:numId="2" w16cid:durableId="1704478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93F"/>
    <w:rsid w:val="0037497B"/>
    <w:rsid w:val="003800A3"/>
    <w:rsid w:val="003A42B2"/>
    <w:rsid w:val="00A333CF"/>
    <w:rsid w:val="00B13B24"/>
    <w:rsid w:val="00B14041"/>
    <w:rsid w:val="00EE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E636"/>
  <w15:docId w15:val="{405A5943-B1F4-44E2-9B22-73847B2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1331</Words>
  <Characters>7589</Characters>
  <Application>Microsoft Office Word</Application>
  <DocSecurity>0</DocSecurity>
  <Lines>63</Lines>
  <Paragraphs>17</Paragraphs>
  <ScaleCrop>false</ScaleCrop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Rubert G</cp:lastModifiedBy>
  <cp:revision>14</cp:revision>
  <dcterms:created xsi:type="dcterms:W3CDTF">2026-10-21T05:12:00Z</dcterms:created>
  <dcterms:modified xsi:type="dcterms:W3CDTF">2026-10-21T06:29:00Z</dcterms:modified>
</cp:coreProperties>
</file>