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rPr>
          <w:rFonts w:ascii="Times New Roman" w:hAnsi="Times New Roman"/>
          <w:b/>
          <w:color w:val="000000"/>
          <w:sz w:val="34"/>
        </w:rPr>
        <w:t>AI Radiology Triage System</w:t>
      </w:r>
    </w:p>
    <w:p>
      <w:pPr>
        <w:spacing w:after="240" w:line="240" w:lineRule="auto"/>
      </w:pPr>
      <w:r>
        <w:rPr>
          <w:i/>
        </w:rPr>
        <w:t>A clinical workflow platform that helps radiologists identify potentially urgent chest X-rays earlier while keeping interpretation and care decisions with the radiologist.</w:t>
      </w:r>
    </w:p>
    <w:p>
      <w:pPr>
        <w:pStyle w:val="Heading1"/>
        <w:keepNext/>
      </w:pPr>
      <w:r>
        <w:rPr>
          <w:rFonts w:ascii="Times New Roman" w:hAnsi="Times New Roman"/>
          <w:b/>
          <w:color w:val="000000"/>
          <w:sz w:val="28"/>
        </w:rPr>
        <w:t>1. Problem</w:t>
      </w:r>
    </w:p>
    <w:p>
      <w:r>
        <w:t>Radiology teams manage high volumes of chest X-rays. Potentially urgent studies can wait behind routine cases when all examinations enter a standard queue. Orders, images, AI findings and radiologist reviews may also pass through separate workflow stages, making it harder to track each case from acquisition to final report.</w:t>
      </w:r>
    </w:p>
    <w:p>
      <w:r>
        <w:rPr>
          <w:b/>
        </w:rPr>
        <w:t>Urgent studies in routine queues:</w:t>
      </w:r>
      <w:r>
        <w:t xml:space="preserve"> A standard queue may not make potentially urgent examinations visible early enough for review.</w:t>
      </w:r>
    </w:p>
    <w:p>
      <w:r>
        <w:rPr>
          <w:b/>
        </w:rPr>
        <w:t>Fragmented workflow:</w:t>
      </w:r>
      <w:r>
        <w:t xml:space="preserve"> Imaging orders, DICOM images, screening results and radiologist reviews can be spread across different systems or stages.</w:t>
      </w:r>
    </w:p>
    <w:p>
      <w:r>
        <w:rPr>
          <w:b/>
        </w:rPr>
        <w:t>Limited visual guidance:</w:t>
      </w:r>
      <w:r>
        <w:t xml:space="preserve"> Radiologists may need to locate candidate suspicious regions themselves while reviewing each image.</w:t>
      </w:r>
    </w:p>
    <w:p>
      <w:r>
        <w:rPr>
          <w:b/>
        </w:rPr>
        <w:t>Coordination burden:</w:t>
      </w:r>
      <w:r>
        <w:t xml:space="preserve"> Teams need a traceable link between the order, image, prioritisation result and final interpretation.</w:t>
      </w:r>
    </w:p>
    <w:p>
      <w:pPr>
        <w:pStyle w:val="Heading1"/>
        <w:keepNext/>
      </w:pPr>
      <w:r>
        <w:rPr>
          <w:rFonts w:ascii="Times New Roman" w:hAnsi="Times New Roman"/>
          <w:b/>
          <w:color w:val="000000"/>
          <w:sz w:val="28"/>
        </w:rPr>
        <w:t>2. Solution</w:t>
      </w:r>
    </w:p>
    <w:p>
      <w:r>
        <w:t>The system screens supported chest X-rays, assigns a priority level and highlights candidate suspicious regions to help radiologists decide which studies to review sooner. It brings the order, DICOM image, AI result, worklist status and final review into one traceable workflow.</w:t>
      </w:r>
    </w:p>
    <w:p>
      <w:r>
        <w:t>The system is designed to work alongside existing diagnostics, RIS/PACS and clinical systems. It supports PA, AP and PA + AP chest X-ray workflows. Clinical responsibility remains with the radiologist: the AI supports prioritisation and does not make the diagnosis.</w:t>
      </w:r>
    </w:p>
    <w:p>
      <w:r>
        <w:br w:type="page"/>
      </w:r>
    </w:p>
    <w:p>
      <w:pPr>
        <w:pStyle w:val="Heading1"/>
        <w:keepNext/>
      </w:pPr>
      <w:r>
        <w:rPr>
          <w:rFonts w:ascii="Times New Roman" w:hAnsi="Times New Roman"/>
          <w:b/>
          <w:color w:val="000000"/>
          <w:sz w:val="28"/>
        </w:rPr>
        <w:t>3. Platform Features</w:t>
      </w:r>
    </w:p>
    <w:p>
      <w:r>
        <w:t>The platform combines image screening, worklist prioritisation and review tools in one radiology workflow.</w:t>
      </w:r>
    </w:p>
    <w:tbl>
      <w:tblPr>
        <w:tblW w:type="auto" w:w="0"/>
        <w:jc w:val="center"/>
        <w:tblLayout w:type="fixed"/>
        <w:tblLook w:firstColumn="1" w:firstRow="1" w:lastColumn="0" w:lastRow="0" w:noHBand="0" w:noVBand="1" w:val="04A0"/>
        <w:tblBorders>
          <w:top w:val="single" w:sz="5" w:space="0" w:color="B7C1CB"/>
          <w:left w:val="single" w:sz="5" w:space="0" w:color="B7C1CB"/>
          <w:bottom w:val="single" w:sz="5" w:space="0" w:color="B7C1CB"/>
          <w:right w:val="single" w:sz="5" w:space="0" w:color="B7C1CB"/>
          <w:insideH w:val="single" w:sz="5" w:space="0" w:color="B7C1CB"/>
          <w:insideV w:val="single" w:sz="5" w:space="0" w:color="B7C1CB"/>
        </w:tblBorders>
      </w:tblPr>
      <w:tblGrid>
        <w:gridCol w:w="4831"/>
        <w:gridCol w:w="4831"/>
      </w:tblGrid>
      <w:tr>
        <w:trPr>
          <w:tblHeader w:val="true"/>
        </w:trPr>
        <w:tc>
          <w:tcPr>
            <w:tcW w:type="dxa" w:w="2880"/>
            <w:vAlign w:val="center"/>
            <w:shd w:fill="E6EDF3"/>
            <w:tcMar>
              <w:top w:w="90" w:type="dxa"/>
              <w:start w:w="110" w:type="dxa"/>
              <w:bottom w:w="90" w:type="dxa"/>
              <w:end w:w="110" w:type="dxa"/>
            </w:tcMar>
          </w:tcPr>
          <w:p>
            <w:pPr>
              <w:spacing w:after="0"/>
            </w:pPr>
            <w:r>
              <w:rPr>
                <w:rFonts w:ascii="Times New Roman" w:hAnsi="Times New Roman"/>
                <w:b/>
                <w:sz w:val="18"/>
              </w:rPr>
              <w:t>Feature</w:t>
            </w:r>
          </w:p>
        </w:tc>
        <w:tc>
          <w:tcPr>
            <w:tcW w:type="dxa" w:w="6984"/>
            <w:vAlign w:val="center"/>
            <w:shd w:fill="E6EDF3"/>
            <w:tcMar>
              <w:top w:w="90" w:type="dxa"/>
              <w:start w:w="110" w:type="dxa"/>
              <w:bottom w:w="90" w:type="dxa"/>
              <w:end w:w="110" w:type="dxa"/>
            </w:tcMar>
          </w:tcPr>
          <w:p>
            <w:pPr>
              <w:spacing w:after="0"/>
            </w:pPr>
            <w:r>
              <w:rPr>
                <w:rFonts w:ascii="Times New Roman" w:hAnsi="Times New Roman"/>
                <w:b/>
                <w:sz w:val="18"/>
              </w:rPr>
              <w:t>What it offers</w:t>
            </w:r>
          </w:p>
        </w:tc>
      </w:tr>
      <w:tr>
        <w:trPr>
          <w:cantSplit/>
        </w:trPr>
        <w:tc>
          <w:tcPr>
            <w:tcW w:type="dxa" w:w="2880"/>
            <w:vAlign w:val="center"/>
            <w:tcMar>
              <w:top w:w="90" w:type="dxa"/>
              <w:start w:w="110" w:type="dxa"/>
              <w:bottom w:w="90" w:type="dxa"/>
              <w:end w:w="110" w:type="dxa"/>
            </w:tcMar>
          </w:tcPr>
          <w:p>
            <w:pPr>
              <w:spacing w:after="0" w:line="240" w:lineRule="auto"/>
            </w:pPr>
            <w:r>
              <w:rPr>
                <w:rFonts w:ascii="Times New Roman" w:hAnsi="Times New Roman"/>
                <w:sz w:val="18"/>
              </w:rPr>
              <w:t>Chest X-ray screening</w:t>
            </w:r>
          </w:p>
        </w:tc>
        <w:tc>
          <w:tcPr>
            <w:tcW w:type="dxa" w:w="6984"/>
            <w:vAlign w:val="center"/>
            <w:tcMar>
              <w:top w:w="90" w:type="dxa"/>
              <w:start w:w="110" w:type="dxa"/>
              <w:bottom w:w="90" w:type="dxa"/>
              <w:end w:w="110" w:type="dxa"/>
            </w:tcMar>
          </w:tcPr>
          <w:p>
            <w:pPr>
              <w:spacing w:after="0" w:line="240" w:lineRule="auto"/>
            </w:pPr>
            <w:r>
              <w:rPr>
                <w:rFonts w:ascii="Times New Roman" w:hAnsi="Times New Roman"/>
                <w:sz w:val="18"/>
              </w:rPr>
              <w:t>Screens supported PA, AP and PA + AP studies using the configured AI pipeline.</w:t>
            </w:r>
          </w:p>
        </w:tc>
      </w:tr>
      <w:tr>
        <w:trPr>
          <w:cantSplit/>
        </w:trPr>
        <w:tc>
          <w:tcPr>
            <w:tcW w:type="dxa" w:w="2880"/>
            <w:vAlign w:val="center"/>
            <w:tcMar>
              <w:top w:w="90" w:type="dxa"/>
              <w:start w:w="110" w:type="dxa"/>
              <w:bottom w:w="90" w:type="dxa"/>
              <w:end w:w="110" w:type="dxa"/>
            </w:tcMar>
          </w:tcPr>
          <w:p>
            <w:pPr>
              <w:spacing w:after="0" w:line="240" w:lineRule="auto"/>
            </w:pPr>
            <w:r>
              <w:rPr>
                <w:rFonts w:ascii="Times New Roman" w:hAnsi="Times New Roman"/>
                <w:sz w:val="18"/>
              </w:rPr>
              <w:t>Priority assignment</w:t>
            </w:r>
          </w:p>
        </w:tc>
        <w:tc>
          <w:tcPr>
            <w:tcW w:type="dxa" w:w="6984"/>
            <w:vAlign w:val="center"/>
            <w:tcMar>
              <w:top w:w="90" w:type="dxa"/>
              <w:start w:w="110" w:type="dxa"/>
              <w:bottom w:w="90" w:type="dxa"/>
              <w:end w:w="110" w:type="dxa"/>
            </w:tcMar>
          </w:tcPr>
          <w:p>
            <w:pPr>
              <w:spacing w:after="0" w:line="240" w:lineRule="auto"/>
            </w:pPr>
            <w:r>
              <w:rPr>
                <w:rFonts w:ascii="Times New Roman" w:hAnsi="Times New Roman"/>
                <w:sz w:val="18"/>
              </w:rPr>
              <w:t>Assigns a priority level so studies that may need earlier attention can be surfaced in the worklist.</w:t>
            </w:r>
          </w:p>
        </w:tc>
      </w:tr>
      <w:tr>
        <w:trPr>
          <w:cantSplit/>
        </w:trPr>
        <w:tc>
          <w:tcPr>
            <w:tcW w:type="dxa" w:w="2880"/>
            <w:vAlign w:val="center"/>
            <w:tcMar>
              <w:top w:w="90" w:type="dxa"/>
              <w:start w:w="110" w:type="dxa"/>
              <w:bottom w:w="90" w:type="dxa"/>
              <w:end w:w="110" w:type="dxa"/>
            </w:tcMar>
          </w:tcPr>
          <w:p>
            <w:pPr>
              <w:spacing w:after="0" w:line="240" w:lineRule="auto"/>
            </w:pPr>
            <w:r>
              <w:rPr>
                <w:rFonts w:ascii="Times New Roman" w:hAnsi="Times New Roman"/>
                <w:sz w:val="18"/>
              </w:rPr>
              <w:t>Candidate-region highlighting</w:t>
            </w:r>
          </w:p>
        </w:tc>
        <w:tc>
          <w:tcPr>
            <w:tcW w:type="dxa" w:w="6984"/>
            <w:vAlign w:val="center"/>
            <w:tcMar>
              <w:top w:w="90" w:type="dxa"/>
              <w:start w:w="110" w:type="dxa"/>
              <w:bottom w:w="90" w:type="dxa"/>
              <w:end w:w="110" w:type="dxa"/>
            </w:tcMar>
          </w:tcPr>
          <w:p>
            <w:pPr>
              <w:spacing w:after="0" w:line="240" w:lineRule="auto"/>
            </w:pPr>
            <w:r>
              <w:rPr>
                <w:rFonts w:ascii="Times New Roman" w:hAnsi="Times New Roman"/>
                <w:sz w:val="18"/>
              </w:rPr>
              <w:t>Marks candidate suspicious regions on the image to guide the radiologist’s review.</w:t>
            </w:r>
          </w:p>
        </w:tc>
      </w:tr>
      <w:tr>
        <w:trPr>
          <w:cantSplit/>
        </w:trPr>
        <w:tc>
          <w:tcPr>
            <w:tcW w:type="dxa" w:w="2880"/>
            <w:vAlign w:val="center"/>
            <w:tcMar>
              <w:top w:w="90" w:type="dxa"/>
              <w:start w:w="110" w:type="dxa"/>
              <w:bottom w:w="90" w:type="dxa"/>
              <w:end w:w="110" w:type="dxa"/>
            </w:tcMar>
          </w:tcPr>
          <w:p>
            <w:pPr>
              <w:spacing w:after="0" w:line="240" w:lineRule="auto"/>
            </w:pPr>
            <w:r>
              <w:rPr>
                <w:rFonts w:ascii="Times New Roman" w:hAnsi="Times New Roman"/>
                <w:sz w:val="18"/>
              </w:rPr>
              <w:t>Radiologist worklist</w:t>
            </w:r>
          </w:p>
        </w:tc>
        <w:tc>
          <w:tcPr>
            <w:tcW w:type="dxa" w:w="6984"/>
            <w:vAlign w:val="center"/>
            <w:tcMar>
              <w:top w:w="90" w:type="dxa"/>
              <w:start w:w="110" w:type="dxa"/>
              <w:bottom w:w="90" w:type="dxa"/>
              <w:end w:w="110" w:type="dxa"/>
            </w:tcMar>
          </w:tcPr>
          <w:p>
            <w:pPr>
              <w:spacing w:after="0" w:line="240" w:lineRule="auto"/>
            </w:pPr>
            <w:r>
              <w:rPr>
                <w:rFonts w:ascii="Times New Roman" w:hAnsi="Times New Roman"/>
                <w:sz w:val="18"/>
              </w:rPr>
              <w:t>Organises studies by priority to support review order and team coordination.</w:t>
            </w:r>
          </w:p>
        </w:tc>
      </w:tr>
      <w:tr>
        <w:trPr>
          <w:cantSplit/>
        </w:trPr>
        <w:tc>
          <w:tcPr>
            <w:tcW w:type="dxa" w:w="2880"/>
            <w:vAlign w:val="center"/>
            <w:tcMar>
              <w:top w:w="90" w:type="dxa"/>
              <w:start w:w="110" w:type="dxa"/>
              <w:bottom w:w="90" w:type="dxa"/>
              <w:end w:w="110" w:type="dxa"/>
            </w:tcMar>
          </w:tcPr>
          <w:p>
            <w:pPr>
              <w:spacing w:after="0" w:line="240" w:lineRule="auto"/>
            </w:pPr>
            <w:r>
              <w:rPr>
                <w:rFonts w:ascii="Times New Roman" w:hAnsi="Times New Roman"/>
                <w:sz w:val="18"/>
              </w:rPr>
              <w:t>Traceable case workflow</w:t>
            </w:r>
          </w:p>
        </w:tc>
        <w:tc>
          <w:tcPr>
            <w:tcW w:type="dxa" w:w="6984"/>
            <w:vAlign w:val="center"/>
            <w:tcMar>
              <w:top w:w="90" w:type="dxa"/>
              <w:start w:w="110" w:type="dxa"/>
              <w:bottom w:w="90" w:type="dxa"/>
              <w:end w:w="110" w:type="dxa"/>
            </w:tcMar>
          </w:tcPr>
          <w:p>
            <w:pPr>
              <w:spacing w:after="0" w:line="240" w:lineRule="auto"/>
            </w:pPr>
            <w:r>
              <w:rPr>
                <w:rFonts w:ascii="Times New Roman" w:hAnsi="Times New Roman"/>
                <w:sz w:val="18"/>
              </w:rPr>
              <w:t>Links the imaging order, DICOM image, AI output, radiologist review and final report.</w:t>
            </w:r>
          </w:p>
        </w:tc>
      </w:tr>
      <w:tr>
        <w:trPr>
          <w:cantSplit/>
        </w:trPr>
        <w:tc>
          <w:tcPr>
            <w:tcW w:type="dxa" w:w="2880"/>
            <w:vAlign w:val="center"/>
            <w:tcMar>
              <w:top w:w="90" w:type="dxa"/>
              <w:start w:w="110" w:type="dxa"/>
              <w:bottom w:w="90" w:type="dxa"/>
              <w:end w:w="110" w:type="dxa"/>
            </w:tcMar>
          </w:tcPr>
          <w:p>
            <w:pPr>
              <w:spacing w:after="0" w:line="240" w:lineRule="auto"/>
            </w:pPr>
            <w:r>
              <w:rPr>
                <w:rFonts w:ascii="Times New Roman" w:hAnsi="Times New Roman"/>
                <w:sz w:val="18"/>
              </w:rPr>
              <w:t>Clinical oversight</w:t>
            </w:r>
          </w:p>
        </w:tc>
        <w:tc>
          <w:tcPr>
            <w:tcW w:type="dxa" w:w="6984"/>
            <w:vAlign w:val="center"/>
            <w:tcMar>
              <w:top w:w="90" w:type="dxa"/>
              <w:start w:w="110" w:type="dxa"/>
              <w:bottom w:w="90" w:type="dxa"/>
              <w:end w:w="110" w:type="dxa"/>
            </w:tcMar>
          </w:tcPr>
          <w:p>
            <w:pPr>
              <w:spacing w:after="0" w:line="240" w:lineRule="auto"/>
            </w:pPr>
            <w:r>
              <w:rPr>
                <w:rFonts w:ascii="Times New Roman" w:hAnsi="Times New Roman"/>
                <w:sz w:val="18"/>
              </w:rPr>
              <w:t>Keeps final image interpretation and reporting with the radiologist.</w:t>
            </w:r>
          </w:p>
        </w:tc>
      </w:tr>
    </w:tbl>
    <w:p>
      <w:pPr>
        <w:spacing w:after="0" w:before="0"/>
      </w:pPr>
    </w:p>
    <w:p>
      <w:r>
        <w:t>Together, these features make potentially urgent studies easier to identify and follow through the review process.</w:t>
      </w:r>
    </w:p>
    <w:tbl>
      <w:tblPr>
        <w:tblW w:type="auto" w:w="0"/>
        <w:jc w:val="center"/>
        <w:tblLayout w:type="fixed"/>
        <w:tblLook w:firstColumn="1" w:firstRow="1" w:lastColumn="0" w:lastRow="0" w:noHBand="0" w:noVBand="1" w:val="04A0"/>
        <w:tblBorders>
          <w:top w:val="single" w:sz="5" w:space="0" w:color="B7C1CB"/>
          <w:left w:val="single" w:sz="5" w:space="0" w:color="B7C1CB"/>
          <w:bottom w:val="single" w:sz="5" w:space="0" w:color="B7C1CB"/>
          <w:right w:val="single" w:sz="5" w:space="0" w:color="B7C1CB"/>
          <w:insideH w:val="single" w:sz="5" w:space="0" w:color="B7C1CB"/>
          <w:insideV w:val="single" w:sz="5" w:space="0" w:color="B7C1CB"/>
        </w:tblBorders>
      </w:tblPr>
      <w:tblGrid>
        <w:gridCol w:w="3221"/>
        <w:gridCol w:w="3221"/>
        <w:gridCol w:w="3221"/>
      </w:tblGrid>
      <w:tr>
        <w:trPr>
          <w:tblHeader w:val="true"/>
        </w:trPr>
        <w:tc>
          <w:tcPr>
            <w:tcW w:type="dxa" w:w="1800"/>
            <w:vAlign w:val="center"/>
            <w:shd w:fill="E6EDF3"/>
            <w:tcMar>
              <w:top w:w="90" w:type="dxa"/>
              <w:start w:w="110" w:type="dxa"/>
              <w:bottom w:w="90" w:type="dxa"/>
              <w:end w:w="110" w:type="dxa"/>
            </w:tcMar>
          </w:tcPr>
          <w:p>
            <w:pPr>
              <w:spacing w:after="0"/>
            </w:pPr>
            <w:r>
              <w:rPr>
                <w:rFonts w:ascii="Times New Roman" w:hAnsi="Times New Roman"/>
                <w:b/>
                <w:sz w:val="17"/>
              </w:rPr>
              <w:t>Area</w:t>
            </w:r>
          </w:p>
        </w:tc>
        <w:tc>
          <w:tcPr>
            <w:tcW w:type="dxa" w:w="3960"/>
            <w:vAlign w:val="center"/>
            <w:shd w:fill="E6EDF3"/>
            <w:tcMar>
              <w:top w:w="90" w:type="dxa"/>
              <w:start w:w="110" w:type="dxa"/>
              <w:bottom w:w="90" w:type="dxa"/>
              <w:end w:w="110" w:type="dxa"/>
            </w:tcMar>
          </w:tcPr>
          <w:p>
            <w:pPr>
              <w:spacing w:after="0"/>
            </w:pPr>
            <w:r>
              <w:rPr>
                <w:rFonts w:ascii="Times New Roman" w:hAnsi="Times New Roman"/>
                <w:b/>
                <w:sz w:val="17"/>
              </w:rPr>
              <w:t>Capability</w:t>
            </w:r>
          </w:p>
        </w:tc>
        <w:tc>
          <w:tcPr>
            <w:tcW w:type="dxa" w:w="4104"/>
            <w:vAlign w:val="center"/>
            <w:shd w:fill="E6EDF3"/>
            <w:tcMar>
              <w:top w:w="90" w:type="dxa"/>
              <w:start w:w="110" w:type="dxa"/>
              <w:bottom w:w="90" w:type="dxa"/>
              <w:end w:w="110" w:type="dxa"/>
            </w:tcMar>
          </w:tcPr>
          <w:p>
            <w:pPr>
              <w:spacing w:after="0"/>
            </w:pPr>
            <w:r>
              <w:rPr>
                <w:rFonts w:ascii="Times New Roman" w:hAnsi="Times New Roman"/>
                <w:b/>
                <w:sz w:val="17"/>
              </w:rPr>
              <w:t>Expected benefit</w:t>
            </w:r>
          </w:p>
        </w:tc>
      </w:tr>
      <w:tr>
        <w:trPr>
          <w:cantSplit/>
        </w:trPr>
        <w:tc>
          <w:tcPr>
            <w:tcW w:type="dxa" w:w="1800"/>
            <w:vAlign w:val="center"/>
            <w:tcMar>
              <w:top w:w="90" w:type="dxa"/>
              <w:start w:w="110" w:type="dxa"/>
              <w:bottom w:w="90" w:type="dxa"/>
              <w:end w:w="110" w:type="dxa"/>
            </w:tcMar>
          </w:tcPr>
          <w:p>
            <w:pPr>
              <w:spacing w:after="0" w:line="240" w:lineRule="auto"/>
            </w:pPr>
            <w:r>
              <w:rPr>
                <w:rFonts w:ascii="Times New Roman" w:hAnsi="Times New Roman"/>
                <w:sz w:val="17"/>
              </w:rPr>
              <w:t>Image analysis</w:t>
            </w:r>
          </w:p>
        </w:tc>
        <w:tc>
          <w:tcPr>
            <w:tcW w:type="dxa" w:w="3960"/>
            <w:vAlign w:val="center"/>
            <w:tcMar>
              <w:top w:w="90" w:type="dxa"/>
              <w:start w:w="110" w:type="dxa"/>
              <w:bottom w:w="90" w:type="dxa"/>
              <w:end w:w="110" w:type="dxa"/>
            </w:tcMar>
          </w:tcPr>
          <w:p>
            <w:pPr>
              <w:spacing w:after="0" w:line="240" w:lineRule="auto"/>
            </w:pPr>
            <w:r>
              <w:rPr>
                <w:rFonts w:ascii="Times New Roman" w:hAnsi="Times New Roman"/>
                <w:sz w:val="17"/>
              </w:rPr>
              <w:t>DenseNet121 screening and YOLO11n candidate-region detection</w:t>
            </w:r>
          </w:p>
        </w:tc>
        <w:tc>
          <w:tcPr>
            <w:tcW w:type="dxa" w:w="4104"/>
            <w:vAlign w:val="center"/>
            <w:tcMar>
              <w:top w:w="90" w:type="dxa"/>
              <w:start w:w="110" w:type="dxa"/>
              <w:bottom w:w="90" w:type="dxa"/>
              <w:end w:w="110" w:type="dxa"/>
            </w:tcMar>
          </w:tcPr>
          <w:p>
            <w:pPr>
              <w:spacing w:after="0" w:line="240" w:lineRule="auto"/>
            </w:pPr>
            <w:r>
              <w:rPr>
                <w:rFonts w:ascii="Times New Roman" w:hAnsi="Times New Roman"/>
                <w:sz w:val="17"/>
              </w:rPr>
              <w:t>Provides a priority signal and visual cues for radiologist review.</w:t>
            </w:r>
          </w:p>
        </w:tc>
      </w:tr>
      <w:tr>
        <w:trPr>
          <w:cantSplit/>
        </w:trPr>
        <w:tc>
          <w:tcPr>
            <w:tcW w:type="dxa" w:w="1800"/>
            <w:vAlign w:val="center"/>
            <w:tcMar>
              <w:top w:w="90" w:type="dxa"/>
              <w:start w:w="110" w:type="dxa"/>
              <w:bottom w:w="90" w:type="dxa"/>
              <w:end w:w="110" w:type="dxa"/>
            </w:tcMar>
          </w:tcPr>
          <w:p>
            <w:pPr>
              <w:spacing w:after="0" w:line="240" w:lineRule="auto"/>
            </w:pPr>
            <w:r>
              <w:rPr>
                <w:rFonts w:ascii="Times New Roman" w:hAnsi="Times New Roman"/>
                <w:sz w:val="17"/>
              </w:rPr>
              <w:t>Image workflow</w:t>
            </w:r>
          </w:p>
        </w:tc>
        <w:tc>
          <w:tcPr>
            <w:tcW w:type="dxa" w:w="3960"/>
            <w:vAlign w:val="center"/>
            <w:tcMar>
              <w:top w:w="90" w:type="dxa"/>
              <w:start w:w="110" w:type="dxa"/>
              <w:bottom w:w="90" w:type="dxa"/>
              <w:end w:w="110" w:type="dxa"/>
            </w:tcMar>
          </w:tcPr>
          <w:p>
            <w:pPr>
              <w:spacing w:after="0" w:line="240" w:lineRule="auto"/>
            </w:pPr>
            <w:r>
              <w:rPr>
                <w:rFonts w:ascii="Times New Roman" w:hAnsi="Times New Roman"/>
                <w:sz w:val="17"/>
              </w:rPr>
              <w:t>DICOM support with Orthanc storage and imaging services</w:t>
            </w:r>
          </w:p>
        </w:tc>
        <w:tc>
          <w:tcPr>
            <w:tcW w:type="dxa" w:w="4104"/>
            <w:vAlign w:val="center"/>
            <w:tcMar>
              <w:top w:w="90" w:type="dxa"/>
              <w:start w:w="110" w:type="dxa"/>
              <w:bottom w:w="90" w:type="dxa"/>
              <w:end w:w="110" w:type="dxa"/>
            </w:tcMar>
          </w:tcPr>
          <w:p>
            <w:pPr>
              <w:spacing w:after="0" w:line="240" w:lineRule="auto"/>
            </w:pPr>
            <w:r>
              <w:rPr>
                <w:rFonts w:ascii="Times New Roman" w:hAnsi="Times New Roman"/>
                <w:sz w:val="17"/>
              </w:rPr>
              <w:t>Keeps medical images available within the connected workflow.</w:t>
            </w:r>
          </w:p>
        </w:tc>
      </w:tr>
      <w:tr>
        <w:trPr>
          <w:cantSplit/>
        </w:trPr>
        <w:tc>
          <w:tcPr>
            <w:tcW w:type="dxa" w:w="1800"/>
            <w:vAlign w:val="center"/>
            <w:tcMar>
              <w:top w:w="90" w:type="dxa"/>
              <w:start w:w="110" w:type="dxa"/>
              <w:bottom w:w="90" w:type="dxa"/>
              <w:end w:w="110" w:type="dxa"/>
            </w:tcMar>
          </w:tcPr>
          <w:p>
            <w:pPr>
              <w:spacing w:after="0" w:line="240" w:lineRule="auto"/>
            </w:pPr>
            <w:r>
              <w:rPr>
                <w:rFonts w:ascii="Times New Roman" w:hAnsi="Times New Roman"/>
                <w:sz w:val="17"/>
              </w:rPr>
              <w:t>Image review</w:t>
            </w:r>
          </w:p>
        </w:tc>
        <w:tc>
          <w:tcPr>
            <w:tcW w:type="dxa" w:w="3960"/>
            <w:vAlign w:val="center"/>
            <w:tcMar>
              <w:top w:w="90" w:type="dxa"/>
              <w:start w:w="110" w:type="dxa"/>
              <w:bottom w:w="90" w:type="dxa"/>
              <w:end w:w="110" w:type="dxa"/>
            </w:tcMar>
          </w:tcPr>
          <w:p>
            <w:pPr>
              <w:spacing w:after="0" w:line="240" w:lineRule="auto"/>
            </w:pPr>
            <w:r>
              <w:rPr>
                <w:rFonts w:ascii="Times New Roman" w:hAnsi="Times New Roman"/>
                <w:sz w:val="17"/>
              </w:rPr>
              <w:t>OHIF medical image viewer</w:t>
            </w:r>
          </w:p>
        </w:tc>
        <w:tc>
          <w:tcPr>
            <w:tcW w:type="dxa" w:w="4104"/>
            <w:vAlign w:val="center"/>
            <w:tcMar>
              <w:top w:w="90" w:type="dxa"/>
              <w:start w:w="110" w:type="dxa"/>
              <w:bottom w:w="90" w:type="dxa"/>
              <w:end w:w="110" w:type="dxa"/>
            </w:tcMar>
          </w:tcPr>
          <w:p>
            <w:pPr>
              <w:spacing w:after="0" w:line="240" w:lineRule="auto"/>
            </w:pPr>
            <w:r>
              <w:rPr>
                <w:rFonts w:ascii="Times New Roman" w:hAnsi="Times New Roman"/>
                <w:sz w:val="17"/>
              </w:rPr>
              <w:t>Allows radiologists to inspect studies and AI highlights.</w:t>
            </w:r>
          </w:p>
        </w:tc>
      </w:tr>
      <w:tr>
        <w:trPr>
          <w:cantSplit/>
        </w:trPr>
        <w:tc>
          <w:tcPr>
            <w:tcW w:type="dxa" w:w="1800"/>
            <w:vAlign w:val="center"/>
            <w:tcMar>
              <w:top w:w="90" w:type="dxa"/>
              <w:start w:w="110" w:type="dxa"/>
              <w:bottom w:w="90" w:type="dxa"/>
              <w:end w:w="110" w:type="dxa"/>
            </w:tcMar>
          </w:tcPr>
          <w:p>
            <w:pPr>
              <w:spacing w:after="0" w:line="240" w:lineRule="auto"/>
            </w:pPr>
            <w:r>
              <w:rPr>
                <w:rFonts w:ascii="Times New Roman" w:hAnsi="Times New Roman"/>
                <w:sz w:val="17"/>
              </w:rPr>
              <w:t>Application</w:t>
            </w:r>
          </w:p>
        </w:tc>
        <w:tc>
          <w:tcPr>
            <w:tcW w:type="dxa" w:w="3960"/>
            <w:vAlign w:val="center"/>
            <w:tcMar>
              <w:top w:w="90" w:type="dxa"/>
              <w:start w:w="110" w:type="dxa"/>
              <w:bottom w:w="90" w:type="dxa"/>
              <w:end w:w="110" w:type="dxa"/>
            </w:tcMar>
          </w:tcPr>
          <w:p>
            <w:pPr>
              <w:spacing w:after="0" w:line="240" w:lineRule="auto"/>
            </w:pPr>
            <w:r>
              <w:rPr>
                <w:rFonts w:ascii="Times New Roman" w:hAnsi="Times New Roman"/>
                <w:sz w:val="17"/>
              </w:rPr>
              <w:t>React.js interface with FastAPI / Python workflow services</w:t>
            </w:r>
          </w:p>
        </w:tc>
        <w:tc>
          <w:tcPr>
            <w:tcW w:type="dxa" w:w="4104"/>
            <w:vAlign w:val="center"/>
            <w:tcMar>
              <w:top w:w="90" w:type="dxa"/>
              <w:start w:w="110" w:type="dxa"/>
              <w:bottom w:w="90" w:type="dxa"/>
              <w:end w:w="110" w:type="dxa"/>
            </w:tcMar>
          </w:tcPr>
          <w:p>
            <w:pPr>
              <w:spacing w:after="0" w:line="240" w:lineRule="auto"/>
            </w:pPr>
            <w:r>
              <w:rPr>
                <w:rFonts w:ascii="Times New Roman" w:hAnsi="Times New Roman"/>
                <w:sz w:val="17"/>
              </w:rPr>
              <w:t>Presents worklists and coordinates screening and review steps.</w:t>
            </w:r>
          </w:p>
        </w:tc>
      </w:tr>
      <w:tr>
        <w:trPr>
          <w:cantSplit/>
        </w:trPr>
        <w:tc>
          <w:tcPr>
            <w:tcW w:type="dxa" w:w="1800"/>
            <w:vAlign w:val="center"/>
            <w:tcMar>
              <w:top w:w="90" w:type="dxa"/>
              <w:start w:w="110" w:type="dxa"/>
              <w:bottom w:w="90" w:type="dxa"/>
              <w:end w:w="110" w:type="dxa"/>
            </w:tcMar>
          </w:tcPr>
          <w:p>
            <w:pPr>
              <w:spacing w:after="0" w:line="240" w:lineRule="auto"/>
            </w:pPr>
            <w:r>
              <w:rPr>
                <w:rFonts w:ascii="Times New Roman" w:hAnsi="Times New Roman"/>
                <w:sz w:val="17"/>
              </w:rPr>
              <w:t>System integration</w:t>
            </w:r>
          </w:p>
        </w:tc>
        <w:tc>
          <w:tcPr>
            <w:tcW w:type="dxa" w:w="3960"/>
            <w:vAlign w:val="center"/>
            <w:tcMar>
              <w:top w:w="90" w:type="dxa"/>
              <w:start w:w="110" w:type="dxa"/>
              <w:bottom w:w="90" w:type="dxa"/>
              <w:end w:w="110" w:type="dxa"/>
            </w:tcMar>
          </w:tcPr>
          <w:p>
            <w:pPr>
              <w:spacing w:after="0" w:line="240" w:lineRule="auto"/>
            </w:pPr>
            <w:r>
              <w:rPr>
                <w:rFonts w:ascii="Times New Roman" w:hAnsi="Times New Roman"/>
                <w:sz w:val="17"/>
              </w:rPr>
              <w:t>Designed to work alongside diagnostics, RIS/PACS and clinical systems</w:t>
            </w:r>
          </w:p>
        </w:tc>
        <w:tc>
          <w:tcPr>
            <w:tcW w:type="dxa" w:w="4104"/>
            <w:vAlign w:val="center"/>
            <w:tcMar>
              <w:top w:w="90" w:type="dxa"/>
              <w:start w:w="110" w:type="dxa"/>
              <w:bottom w:w="90" w:type="dxa"/>
              <w:end w:w="110" w:type="dxa"/>
            </w:tcMar>
          </w:tcPr>
          <w:p>
            <w:pPr>
              <w:spacing w:after="0" w:line="240" w:lineRule="auto"/>
            </w:pPr>
            <w:r>
              <w:rPr>
                <w:rFonts w:ascii="Times New Roman" w:hAnsi="Times New Roman"/>
                <w:sz w:val="17"/>
              </w:rPr>
              <w:t>Supports coordination with existing care and imaging operations.</w:t>
            </w:r>
          </w:p>
        </w:tc>
      </w:tr>
    </w:tbl>
    <w:p>
      <w:pPr>
        <w:spacing w:after="0" w:before="0"/>
      </w:pPr>
    </w:p>
    <w:p>
      <w:pPr>
        <w:pStyle w:val="Heading1"/>
        <w:keepNext/>
      </w:pPr>
      <w:r>
        <w:rPr>
          <w:rFonts w:ascii="Times New Roman" w:hAnsi="Times New Roman"/>
          <w:b/>
          <w:color w:val="000000"/>
          <w:sz w:val="28"/>
        </w:rPr>
        <w:t>4. Intended Impact</w:t>
      </w:r>
    </w:p>
    <w:p>
      <w:r>
        <w:t>The system is intended to support faster attention to potentially urgent studies, improve worklist prioritisation, reduce the chance that important cases remain in routine queues, and improve coordination among doctors, diagnostics teams and radiologists. By connecting each order, image, AI result and final review, it also supports end-to-end traceability and more focused use of specialist time.</w:t>
      </w:r>
    </w:p>
    <w:p>
      <w:r>
        <w:br w:type="page"/>
      </w:r>
    </w:p>
    <w:p>
      <w:pPr>
        <w:pStyle w:val="Heading1"/>
        <w:keepNext/>
      </w:pPr>
      <w:r>
        <w:rPr>
          <w:rFonts w:ascii="Times New Roman" w:hAnsi="Times New Roman"/>
          <w:b/>
          <w:color w:val="000000"/>
          <w:sz w:val="28"/>
        </w:rPr>
        <w:t>5. How the System Works</w:t>
      </w:r>
    </w:p>
    <w:p>
      <w:r>
        <w:t>A chest X-ray moves through the following workflow from order to final report:</w:t>
      </w:r>
    </w:p>
    <w:tbl>
      <w:tblPr>
        <w:tblW w:type="auto" w:w="0"/>
        <w:jc w:val="center"/>
        <w:tblLayout w:type="fixed"/>
        <w:tblLook w:firstColumn="1" w:firstRow="1" w:lastColumn="0" w:lastRow="0" w:noHBand="0" w:noVBand="1" w:val="04A0"/>
        <w:tblBorders>
          <w:top w:val="single" w:sz="5" w:space="0" w:color="B7C1CB"/>
          <w:left w:val="single" w:sz="5" w:space="0" w:color="B7C1CB"/>
          <w:bottom w:val="single" w:sz="5" w:space="0" w:color="B7C1CB"/>
          <w:right w:val="single" w:sz="5" w:space="0" w:color="B7C1CB"/>
          <w:insideH w:val="single" w:sz="5" w:space="0" w:color="B7C1CB"/>
          <w:insideV w:val="single" w:sz="5" w:space="0" w:color="B7C1CB"/>
        </w:tblBorders>
      </w:tblPr>
      <w:tblGrid>
        <w:gridCol w:w="3221"/>
        <w:gridCol w:w="3221"/>
        <w:gridCol w:w="3221"/>
      </w:tblGrid>
      <w:tr>
        <w:trPr>
          <w:tblHeader w:val="true"/>
        </w:trPr>
        <w:tc>
          <w:tcPr>
            <w:tcW w:type="dxa" w:w="1800"/>
            <w:vAlign w:val="center"/>
            <w:shd w:fill="E6EDF3"/>
            <w:tcMar>
              <w:top w:w="90" w:type="dxa"/>
              <w:start w:w="110" w:type="dxa"/>
              <w:bottom w:w="90" w:type="dxa"/>
              <w:end w:w="110" w:type="dxa"/>
            </w:tcMar>
          </w:tcPr>
          <w:p>
            <w:pPr>
              <w:spacing w:after="0"/>
            </w:pPr>
            <w:r>
              <w:rPr>
                <w:rFonts w:ascii="Times New Roman" w:hAnsi="Times New Roman"/>
                <w:b/>
                <w:sz w:val="18"/>
              </w:rPr>
              <w:t>Stage</w:t>
            </w:r>
          </w:p>
        </w:tc>
        <w:tc>
          <w:tcPr>
            <w:tcW w:type="dxa" w:w="4536"/>
            <w:vAlign w:val="center"/>
            <w:shd w:fill="E6EDF3"/>
            <w:tcMar>
              <w:top w:w="90" w:type="dxa"/>
              <w:start w:w="110" w:type="dxa"/>
              <w:bottom w:w="90" w:type="dxa"/>
              <w:end w:w="110" w:type="dxa"/>
            </w:tcMar>
          </w:tcPr>
          <w:p>
            <w:pPr>
              <w:spacing w:after="0"/>
            </w:pPr>
            <w:r>
              <w:rPr>
                <w:rFonts w:ascii="Times New Roman" w:hAnsi="Times New Roman"/>
                <w:b/>
                <w:sz w:val="18"/>
              </w:rPr>
              <w:t>Activity</w:t>
            </w:r>
          </w:p>
        </w:tc>
        <w:tc>
          <w:tcPr>
            <w:tcW w:type="dxa" w:w="3528"/>
            <w:vAlign w:val="center"/>
            <w:shd w:fill="E6EDF3"/>
            <w:tcMar>
              <w:top w:w="90" w:type="dxa"/>
              <w:start w:w="110" w:type="dxa"/>
              <w:bottom w:w="90" w:type="dxa"/>
              <w:end w:w="110" w:type="dxa"/>
            </w:tcMar>
          </w:tcPr>
          <w:p>
            <w:pPr>
              <w:spacing w:after="0"/>
            </w:pPr>
            <w:r>
              <w:rPr>
                <w:rFonts w:ascii="Times New Roman" w:hAnsi="Times New Roman"/>
                <w:b/>
                <w:sz w:val="18"/>
              </w:rPr>
              <w:t>Workflow output</w:t>
            </w:r>
          </w:p>
        </w:tc>
      </w:tr>
      <w:tr>
        <w:trPr>
          <w:cantSplit/>
        </w:trPr>
        <w:tc>
          <w:tcPr>
            <w:tcW w:type="dxa" w:w="1800"/>
            <w:vAlign w:val="center"/>
            <w:tcMar>
              <w:top w:w="90" w:type="dxa"/>
              <w:start w:w="110" w:type="dxa"/>
              <w:bottom w:w="90" w:type="dxa"/>
              <w:end w:w="110" w:type="dxa"/>
            </w:tcMar>
          </w:tcPr>
          <w:p>
            <w:pPr>
              <w:spacing w:after="0" w:line="240" w:lineRule="auto"/>
            </w:pPr>
            <w:r>
              <w:rPr>
                <w:rFonts w:ascii="Times New Roman" w:hAnsi="Times New Roman"/>
                <w:sz w:val="18"/>
              </w:rPr>
              <w:t>1. X-ray order</w:t>
            </w:r>
          </w:p>
        </w:tc>
        <w:tc>
          <w:tcPr>
            <w:tcW w:type="dxa" w:w="4536"/>
            <w:vAlign w:val="center"/>
            <w:tcMar>
              <w:top w:w="90" w:type="dxa"/>
              <w:start w:w="110" w:type="dxa"/>
              <w:bottom w:w="90" w:type="dxa"/>
              <w:end w:w="110" w:type="dxa"/>
            </w:tcMar>
          </w:tcPr>
          <w:p>
            <w:pPr>
              <w:spacing w:after="0" w:line="240" w:lineRule="auto"/>
            </w:pPr>
            <w:r>
              <w:rPr>
                <w:rFonts w:ascii="Times New Roman" w:hAnsi="Times New Roman"/>
                <w:sz w:val="18"/>
              </w:rPr>
              <w:t>A chest X-ray is requested in the clinical workflow.</w:t>
            </w:r>
          </w:p>
        </w:tc>
        <w:tc>
          <w:tcPr>
            <w:tcW w:type="dxa" w:w="3528"/>
            <w:vAlign w:val="center"/>
            <w:tcMar>
              <w:top w:w="90" w:type="dxa"/>
              <w:start w:w="110" w:type="dxa"/>
              <w:bottom w:w="90" w:type="dxa"/>
              <w:end w:w="110" w:type="dxa"/>
            </w:tcMar>
          </w:tcPr>
          <w:p>
            <w:pPr>
              <w:spacing w:after="0" w:line="240" w:lineRule="auto"/>
            </w:pPr>
            <w:r>
              <w:rPr>
                <w:rFonts w:ascii="Times New Roman" w:hAnsi="Times New Roman"/>
                <w:sz w:val="18"/>
              </w:rPr>
              <w:t>An order is available for imaging.</w:t>
            </w:r>
          </w:p>
        </w:tc>
      </w:tr>
      <w:tr>
        <w:trPr>
          <w:cantSplit/>
        </w:trPr>
        <w:tc>
          <w:tcPr>
            <w:tcW w:type="dxa" w:w="1800"/>
            <w:vAlign w:val="center"/>
            <w:tcMar>
              <w:top w:w="90" w:type="dxa"/>
              <w:start w:w="110" w:type="dxa"/>
              <w:bottom w:w="90" w:type="dxa"/>
              <w:end w:w="110" w:type="dxa"/>
            </w:tcMar>
          </w:tcPr>
          <w:p>
            <w:pPr>
              <w:spacing w:after="0" w:line="240" w:lineRule="auto"/>
            </w:pPr>
            <w:r>
              <w:rPr>
                <w:rFonts w:ascii="Times New Roman" w:hAnsi="Times New Roman"/>
                <w:sz w:val="18"/>
              </w:rPr>
              <w:t>2. Image acquisition</w:t>
            </w:r>
          </w:p>
        </w:tc>
        <w:tc>
          <w:tcPr>
            <w:tcW w:type="dxa" w:w="4536"/>
            <w:vAlign w:val="center"/>
            <w:tcMar>
              <w:top w:w="90" w:type="dxa"/>
              <w:start w:w="110" w:type="dxa"/>
              <w:bottom w:w="90" w:type="dxa"/>
              <w:end w:w="110" w:type="dxa"/>
            </w:tcMar>
          </w:tcPr>
          <w:p>
            <w:pPr>
              <w:spacing w:after="0" w:line="240" w:lineRule="auto"/>
            </w:pPr>
            <w:r>
              <w:rPr>
                <w:rFonts w:ascii="Times New Roman" w:hAnsi="Times New Roman"/>
                <w:sz w:val="18"/>
              </w:rPr>
              <w:t>The supported chest X-ray view or views are acquired (PA, AP or PA + AP).</w:t>
            </w:r>
          </w:p>
        </w:tc>
        <w:tc>
          <w:tcPr>
            <w:tcW w:type="dxa" w:w="3528"/>
            <w:vAlign w:val="center"/>
            <w:tcMar>
              <w:top w:w="90" w:type="dxa"/>
              <w:start w:w="110" w:type="dxa"/>
              <w:bottom w:w="90" w:type="dxa"/>
              <w:end w:w="110" w:type="dxa"/>
            </w:tcMar>
          </w:tcPr>
          <w:p>
            <w:pPr>
              <w:spacing w:after="0" w:line="240" w:lineRule="auto"/>
            </w:pPr>
            <w:r>
              <w:rPr>
                <w:rFonts w:ascii="Times New Roman" w:hAnsi="Times New Roman"/>
                <w:sz w:val="18"/>
              </w:rPr>
              <w:t>A study is created.</w:t>
            </w:r>
          </w:p>
        </w:tc>
      </w:tr>
      <w:tr>
        <w:trPr>
          <w:cantSplit/>
        </w:trPr>
        <w:tc>
          <w:tcPr>
            <w:tcW w:type="dxa" w:w="1800"/>
            <w:vAlign w:val="center"/>
            <w:tcMar>
              <w:top w:w="90" w:type="dxa"/>
              <w:start w:w="110" w:type="dxa"/>
              <w:bottom w:w="90" w:type="dxa"/>
              <w:end w:w="110" w:type="dxa"/>
            </w:tcMar>
          </w:tcPr>
          <w:p>
            <w:pPr>
              <w:spacing w:after="0" w:line="240" w:lineRule="auto"/>
            </w:pPr>
            <w:r>
              <w:rPr>
                <w:rFonts w:ascii="Times New Roman" w:hAnsi="Times New Roman"/>
                <w:sz w:val="18"/>
              </w:rPr>
              <w:t>3. DICOM storage</w:t>
            </w:r>
          </w:p>
        </w:tc>
        <w:tc>
          <w:tcPr>
            <w:tcW w:type="dxa" w:w="4536"/>
            <w:vAlign w:val="center"/>
            <w:tcMar>
              <w:top w:w="90" w:type="dxa"/>
              <w:start w:w="110" w:type="dxa"/>
              <w:bottom w:w="90" w:type="dxa"/>
              <w:end w:w="110" w:type="dxa"/>
            </w:tcMar>
          </w:tcPr>
          <w:p>
            <w:pPr>
              <w:spacing w:after="0" w:line="240" w:lineRule="auto"/>
            </w:pPr>
            <w:r>
              <w:rPr>
                <w:rFonts w:ascii="Times New Roman" w:hAnsi="Times New Roman"/>
                <w:sz w:val="18"/>
              </w:rPr>
              <w:t>The image is stored and made available through the imaging service.</w:t>
            </w:r>
          </w:p>
        </w:tc>
        <w:tc>
          <w:tcPr>
            <w:tcW w:type="dxa" w:w="3528"/>
            <w:vAlign w:val="center"/>
            <w:tcMar>
              <w:top w:w="90" w:type="dxa"/>
              <w:start w:w="110" w:type="dxa"/>
              <w:bottom w:w="90" w:type="dxa"/>
              <w:end w:w="110" w:type="dxa"/>
            </w:tcMar>
          </w:tcPr>
          <w:p>
            <w:pPr>
              <w:spacing w:after="0" w:line="240" w:lineRule="auto"/>
            </w:pPr>
            <w:r>
              <w:rPr>
                <w:rFonts w:ascii="Times New Roman" w:hAnsi="Times New Roman"/>
                <w:sz w:val="18"/>
              </w:rPr>
              <w:t>The DICOM study is ready for screening and review.</w:t>
            </w:r>
          </w:p>
        </w:tc>
      </w:tr>
      <w:tr>
        <w:trPr>
          <w:cantSplit/>
        </w:trPr>
        <w:tc>
          <w:tcPr>
            <w:tcW w:type="dxa" w:w="1800"/>
            <w:vAlign w:val="center"/>
            <w:tcMar>
              <w:top w:w="90" w:type="dxa"/>
              <w:start w:w="110" w:type="dxa"/>
              <w:bottom w:w="90" w:type="dxa"/>
              <w:end w:w="110" w:type="dxa"/>
            </w:tcMar>
          </w:tcPr>
          <w:p>
            <w:pPr>
              <w:spacing w:after="0" w:line="240" w:lineRule="auto"/>
            </w:pPr>
            <w:r>
              <w:rPr>
                <w:rFonts w:ascii="Times New Roman" w:hAnsi="Times New Roman"/>
                <w:sz w:val="18"/>
              </w:rPr>
              <w:t>4. AI screening</w:t>
            </w:r>
          </w:p>
        </w:tc>
        <w:tc>
          <w:tcPr>
            <w:tcW w:type="dxa" w:w="4536"/>
            <w:vAlign w:val="center"/>
            <w:tcMar>
              <w:top w:w="90" w:type="dxa"/>
              <w:start w:w="110" w:type="dxa"/>
              <w:bottom w:w="90" w:type="dxa"/>
              <w:end w:w="110" w:type="dxa"/>
            </w:tcMar>
          </w:tcPr>
          <w:p>
            <w:pPr>
              <w:spacing w:after="0" w:line="240" w:lineRule="auto"/>
            </w:pPr>
            <w:r>
              <w:rPr>
                <w:rFonts w:ascii="Times New Roman" w:hAnsi="Times New Roman"/>
                <w:sz w:val="18"/>
              </w:rPr>
              <w:t>The configured screening and candidate-region models process the study.</w:t>
            </w:r>
          </w:p>
        </w:tc>
        <w:tc>
          <w:tcPr>
            <w:tcW w:type="dxa" w:w="3528"/>
            <w:vAlign w:val="center"/>
            <w:tcMar>
              <w:top w:w="90" w:type="dxa"/>
              <w:start w:w="110" w:type="dxa"/>
              <w:bottom w:w="90" w:type="dxa"/>
              <w:end w:w="110" w:type="dxa"/>
            </w:tcMar>
          </w:tcPr>
          <w:p>
            <w:pPr>
              <w:spacing w:after="0" w:line="240" w:lineRule="auto"/>
            </w:pPr>
            <w:r>
              <w:rPr>
                <w:rFonts w:ascii="Times New Roman" w:hAnsi="Times New Roman"/>
                <w:sz w:val="18"/>
              </w:rPr>
              <w:t>A priority level and candidate-region output are returned.</w:t>
            </w:r>
          </w:p>
        </w:tc>
      </w:tr>
      <w:tr>
        <w:trPr>
          <w:cantSplit/>
        </w:trPr>
        <w:tc>
          <w:tcPr>
            <w:tcW w:type="dxa" w:w="1800"/>
            <w:vAlign w:val="center"/>
            <w:tcMar>
              <w:top w:w="90" w:type="dxa"/>
              <w:start w:w="110" w:type="dxa"/>
              <w:bottom w:w="90" w:type="dxa"/>
              <w:end w:w="110" w:type="dxa"/>
            </w:tcMar>
          </w:tcPr>
          <w:p>
            <w:pPr>
              <w:spacing w:after="0" w:line="240" w:lineRule="auto"/>
            </w:pPr>
            <w:r>
              <w:rPr>
                <w:rFonts w:ascii="Times New Roman" w:hAnsi="Times New Roman"/>
                <w:sz w:val="18"/>
              </w:rPr>
              <w:t>5. Priority assignment</w:t>
            </w:r>
          </w:p>
        </w:tc>
        <w:tc>
          <w:tcPr>
            <w:tcW w:type="dxa" w:w="4536"/>
            <w:vAlign w:val="center"/>
            <w:tcMar>
              <w:top w:w="90" w:type="dxa"/>
              <w:start w:w="110" w:type="dxa"/>
              <w:bottom w:w="90" w:type="dxa"/>
              <w:end w:w="110" w:type="dxa"/>
            </w:tcMar>
          </w:tcPr>
          <w:p>
            <w:pPr>
              <w:spacing w:after="0" w:line="240" w:lineRule="auto"/>
            </w:pPr>
            <w:r>
              <w:rPr>
                <w:rFonts w:ascii="Times New Roman" w:hAnsi="Times New Roman"/>
                <w:sz w:val="18"/>
              </w:rPr>
              <w:t>The study is placed in the radiologist worklist according to priority.</w:t>
            </w:r>
          </w:p>
        </w:tc>
        <w:tc>
          <w:tcPr>
            <w:tcW w:type="dxa" w:w="3528"/>
            <w:vAlign w:val="center"/>
            <w:tcMar>
              <w:top w:w="90" w:type="dxa"/>
              <w:start w:w="110" w:type="dxa"/>
              <w:bottom w:w="90" w:type="dxa"/>
              <w:end w:w="110" w:type="dxa"/>
            </w:tcMar>
          </w:tcPr>
          <w:p>
            <w:pPr>
              <w:spacing w:after="0" w:line="240" w:lineRule="auto"/>
            </w:pPr>
            <w:r>
              <w:rPr>
                <w:rFonts w:ascii="Times New Roman" w:hAnsi="Times New Roman"/>
                <w:sz w:val="18"/>
              </w:rPr>
              <w:t>The worklist supports review sequencing.</w:t>
            </w:r>
          </w:p>
        </w:tc>
      </w:tr>
      <w:tr>
        <w:trPr>
          <w:cantSplit/>
        </w:trPr>
        <w:tc>
          <w:tcPr>
            <w:tcW w:type="dxa" w:w="1800"/>
            <w:vAlign w:val="center"/>
            <w:tcMar>
              <w:top w:w="90" w:type="dxa"/>
              <w:start w:w="110" w:type="dxa"/>
              <w:bottom w:w="90" w:type="dxa"/>
              <w:end w:w="110" w:type="dxa"/>
            </w:tcMar>
          </w:tcPr>
          <w:p>
            <w:pPr>
              <w:spacing w:after="0" w:line="240" w:lineRule="auto"/>
            </w:pPr>
            <w:r>
              <w:rPr>
                <w:rFonts w:ascii="Times New Roman" w:hAnsi="Times New Roman"/>
                <w:sz w:val="18"/>
              </w:rPr>
              <w:t>6. Radiologist review</w:t>
            </w:r>
          </w:p>
        </w:tc>
        <w:tc>
          <w:tcPr>
            <w:tcW w:type="dxa" w:w="4536"/>
            <w:vAlign w:val="center"/>
            <w:tcMar>
              <w:top w:w="90" w:type="dxa"/>
              <w:start w:w="110" w:type="dxa"/>
              <w:bottom w:w="90" w:type="dxa"/>
              <w:end w:w="110" w:type="dxa"/>
            </w:tcMar>
          </w:tcPr>
          <w:p>
            <w:pPr>
              <w:spacing w:after="0" w:line="240" w:lineRule="auto"/>
            </w:pPr>
            <w:r>
              <w:rPr>
                <w:rFonts w:ascii="Times New Roman" w:hAnsi="Times New Roman"/>
                <w:sz w:val="18"/>
              </w:rPr>
              <w:t>The radiologist opens the image, considers the AI output and performs the clinical interpretation.</w:t>
            </w:r>
          </w:p>
        </w:tc>
        <w:tc>
          <w:tcPr>
            <w:tcW w:type="dxa" w:w="3528"/>
            <w:vAlign w:val="center"/>
            <w:tcMar>
              <w:top w:w="90" w:type="dxa"/>
              <w:start w:w="110" w:type="dxa"/>
              <w:bottom w:w="90" w:type="dxa"/>
              <w:end w:w="110" w:type="dxa"/>
            </w:tcMar>
          </w:tcPr>
          <w:p>
            <w:pPr>
              <w:spacing w:after="0" w:line="240" w:lineRule="auto"/>
            </w:pPr>
            <w:r>
              <w:rPr>
                <w:rFonts w:ascii="Times New Roman" w:hAnsi="Times New Roman"/>
                <w:sz w:val="18"/>
              </w:rPr>
              <w:t>The radiologist determines the findings.</w:t>
            </w:r>
          </w:p>
        </w:tc>
      </w:tr>
      <w:tr>
        <w:trPr>
          <w:cantSplit/>
        </w:trPr>
        <w:tc>
          <w:tcPr>
            <w:tcW w:type="dxa" w:w="1800"/>
            <w:vAlign w:val="center"/>
            <w:tcMar>
              <w:top w:w="90" w:type="dxa"/>
              <w:start w:w="110" w:type="dxa"/>
              <w:bottom w:w="90" w:type="dxa"/>
              <w:end w:w="110" w:type="dxa"/>
            </w:tcMar>
          </w:tcPr>
          <w:p>
            <w:pPr>
              <w:spacing w:after="0" w:line="240" w:lineRule="auto"/>
            </w:pPr>
            <w:r>
              <w:rPr>
                <w:rFonts w:ascii="Times New Roman" w:hAnsi="Times New Roman"/>
                <w:sz w:val="18"/>
              </w:rPr>
              <w:t>7. Final report</w:t>
            </w:r>
          </w:p>
        </w:tc>
        <w:tc>
          <w:tcPr>
            <w:tcW w:type="dxa" w:w="4536"/>
            <w:vAlign w:val="center"/>
            <w:tcMar>
              <w:top w:w="90" w:type="dxa"/>
              <w:start w:w="110" w:type="dxa"/>
              <w:bottom w:w="90" w:type="dxa"/>
              <w:end w:w="110" w:type="dxa"/>
            </w:tcMar>
          </w:tcPr>
          <w:p>
            <w:pPr>
              <w:spacing w:after="0" w:line="240" w:lineRule="auto"/>
            </w:pPr>
            <w:r>
              <w:rPr>
                <w:rFonts w:ascii="Times New Roman" w:hAnsi="Times New Roman"/>
                <w:sz w:val="18"/>
              </w:rPr>
              <w:t>The final interpretation is recorded and linked to the study workflow.</w:t>
            </w:r>
          </w:p>
        </w:tc>
        <w:tc>
          <w:tcPr>
            <w:tcW w:type="dxa" w:w="3528"/>
            <w:vAlign w:val="center"/>
            <w:tcMar>
              <w:top w:w="90" w:type="dxa"/>
              <w:start w:w="110" w:type="dxa"/>
              <w:bottom w:w="90" w:type="dxa"/>
              <w:end w:w="110" w:type="dxa"/>
            </w:tcMar>
          </w:tcPr>
          <w:p>
            <w:pPr>
              <w:spacing w:after="0" w:line="240" w:lineRule="auto"/>
            </w:pPr>
            <w:r>
              <w:rPr>
                <w:rFonts w:ascii="Times New Roman" w:hAnsi="Times New Roman"/>
                <w:sz w:val="18"/>
              </w:rPr>
              <w:t>The order-to-report path remains traceable.</w:t>
            </w:r>
          </w:p>
        </w:tc>
      </w:tr>
    </w:tbl>
    <w:p>
      <w:pPr>
        <w:spacing w:after="0" w:before="0"/>
      </w:pPr>
    </w:p>
    <w:p>
      <w:r>
        <w:rPr>
          <w:b/>
        </w:rPr>
        <w:t>AI prioritises. The radiologist decides.</w:t>
      </w:r>
      <w:r/>
    </w:p>
    <w:p>
      <w:pPr>
        <w:pStyle w:val="Heading1"/>
        <w:keepNext/>
      </w:pPr>
      <w:r>
        <w:rPr>
          <w:rFonts w:ascii="Times New Roman" w:hAnsi="Times New Roman"/>
          <w:b/>
          <w:color w:val="000000"/>
          <w:sz w:val="28"/>
        </w:rPr>
        <w:t>6. Technology Foundation and Integration</w:t>
      </w:r>
    </w:p>
    <w:p>
      <w:r>
        <w:t>The platform is described as a custom AI-enabled radiology application. Its user interface is built with React.js, while FastAPI and Python provide backend and workflow services. PostgreSQL is the database. DenseNet121 supports chest X-ray screening, and YOLO11n identifies candidate regions. Orthanc provides DICOM image storage and imaging services, and OHIF provides medical image viewing.</w:t>
      </w:r>
    </w:p>
    <w:p>
      <w:r>
        <w:t>DICOM is used for medical imaging exchange, and the solution is designed to work alongside existing diagnostics, RIS/PACS and clinical systems.</w:t>
      </w:r>
    </w:p>
    <w:p>
      <w:r>
        <w:br w:type="page"/>
      </w:r>
    </w:p>
    <w:p>
      <w:pPr>
        <w:pStyle w:val="Heading1"/>
        <w:keepNext/>
      </w:pPr>
      <w:r>
        <w:rPr>
          <w:rFonts w:ascii="Times New Roman" w:hAnsi="Times New Roman"/>
          <w:b/>
          <w:color w:val="000000"/>
          <w:sz w:val="28"/>
        </w:rPr>
        <w:t>7. Model Details and ROC-AUC</w:t>
      </w:r>
    </w:p>
    <w:p>
      <w:r>
        <w:t>The system uses an image classification model and an object detection model for different tasks. Their outputs are supporting signals for the radiologist’s review.</w:t>
      </w:r>
    </w:p>
    <w:tbl>
      <w:tblPr>
        <w:tblW w:type="auto" w:w="0"/>
        <w:jc w:val="center"/>
        <w:tblLayout w:type="fixed"/>
        <w:tblLook w:firstColumn="1" w:firstRow="1" w:lastColumn="0" w:lastRow="0" w:noHBand="0" w:noVBand="1" w:val="04A0"/>
        <w:tblBorders>
          <w:top w:val="single" w:sz="5" w:space="0" w:color="B7C1CB"/>
          <w:left w:val="single" w:sz="5" w:space="0" w:color="B7C1CB"/>
          <w:bottom w:val="single" w:sz="5" w:space="0" w:color="B7C1CB"/>
          <w:right w:val="single" w:sz="5" w:space="0" w:color="B7C1CB"/>
          <w:insideH w:val="single" w:sz="5" w:space="0" w:color="B7C1CB"/>
          <w:insideV w:val="single" w:sz="5" w:space="0" w:color="B7C1CB"/>
        </w:tblBorders>
      </w:tblPr>
      <w:tblGrid>
        <w:gridCol w:w="2416"/>
        <w:gridCol w:w="2416"/>
        <w:gridCol w:w="2416"/>
        <w:gridCol w:w="2416"/>
      </w:tblGrid>
      <w:tr>
        <w:trPr>
          <w:tblHeader w:val="true"/>
        </w:trPr>
        <w:tc>
          <w:tcPr>
            <w:tcW w:type="dxa" w:w="1440"/>
            <w:vAlign w:val="center"/>
            <w:shd w:fill="E6EDF3"/>
            <w:tcMar>
              <w:top w:w="90" w:type="dxa"/>
              <w:start w:w="110" w:type="dxa"/>
              <w:bottom w:w="90" w:type="dxa"/>
              <w:end w:w="110" w:type="dxa"/>
            </w:tcMar>
          </w:tcPr>
          <w:p>
            <w:pPr>
              <w:spacing w:after="0"/>
            </w:pPr>
            <w:r>
              <w:rPr>
                <w:rFonts w:ascii="Times New Roman" w:hAnsi="Times New Roman"/>
                <w:b/>
                <w:sz w:val="17"/>
              </w:rPr>
              <w:t>Model</w:t>
            </w:r>
          </w:p>
        </w:tc>
        <w:tc>
          <w:tcPr>
            <w:tcW w:type="dxa" w:w="1613"/>
            <w:vAlign w:val="center"/>
            <w:shd w:fill="E6EDF3"/>
            <w:tcMar>
              <w:top w:w="90" w:type="dxa"/>
              <w:start w:w="110" w:type="dxa"/>
              <w:bottom w:w="90" w:type="dxa"/>
              <w:end w:w="110" w:type="dxa"/>
            </w:tcMar>
          </w:tcPr>
          <w:p>
            <w:pPr>
              <w:spacing w:after="0"/>
            </w:pPr>
            <w:r>
              <w:rPr>
                <w:rFonts w:ascii="Times New Roman" w:hAnsi="Times New Roman"/>
                <w:b/>
                <w:sz w:val="17"/>
              </w:rPr>
              <w:t>Task</w:t>
            </w:r>
          </w:p>
        </w:tc>
        <w:tc>
          <w:tcPr>
            <w:tcW w:type="dxa" w:w="4320"/>
            <w:vAlign w:val="center"/>
            <w:shd w:fill="E6EDF3"/>
            <w:tcMar>
              <w:top w:w="90" w:type="dxa"/>
              <w:start w:w="110" w:type="dxa"/>
              <w:bottom w:w="90" w:type="dxa"/>
              <w:end w:w="110" w:type="dxa"/>
            </w:tcMar>
          </w:tcPr>
          <w:p>
            <w:pPr>
              <w:spacing w:after="0"/>
            </w:pPr>
            <w:r>
              <w:rPr>
                <w:rFonts w:ascii="Times New Roman" w:hAnsi="Times New Roman"/>
                <w:b/>
                <w:sz w:val="17"/>
              </w:rPr>
              <w:t>Description</w:t>
            </w:r>
          </w:p>
        </w:tc>
        <w:tc>
          <w:tcPr>
            <w:tcW w:type="dxa" w:w="2491"/>
            <w:vAlign w:val="center"/>
            <w:shd w:fill="E6EDF3"/>
            <w:tcMar>
              <w:top w:w="90" w:type="dxa"/>
              <w:start w:w="110" w:type="dxa"/>
              <w:bottom w:w="90" w:type="dxa"/>
              <w:end w:w="110" w:type="dxa"/>
            </w:tcMar>
          </w:tcPr>
          <w:p>
            <w:pPr>
              <w:spacing w:after="0"/>
            </w:pPr>
            <w:r>
              <w:rPr>
                <w:rFonts w:ascii="Times New Roman" w:hAnsi="Times New Roman"/>
                <w:b/>
                <w:sz w:val="17"/>
              </w:rPr>
              <w:t>Output in the workflow</w:t>
            </w:r>
          </w:p>
        </w:tc>
      </w:tr>
      <w:tr>
        <w:trPr>
          <w:cantSplit/>
        </w:trPr>
        <w:tc>
          <w:tcPr>
            <w:tcW w:type="dxa" w:w="1440"/>
            <w:vAlign w:val="center"/>
            <w:tcMar>
              <w:top w:w="90" w:type="dxa"/>
              <w:start w:w="110" w:type="dxa"/>
              <w:bottom w:w="90" w:type="dxa"/>
              <w:end w:w="110" w:type="dxa"/>
            </w:tcMar>
          </w:tcPr>
          <w:p>
            <w:pPr>
              <w:spacing w:after="0" w:line="240" w:lineRule="auto"/>
            </w:pPr>
            <w:r>
              <w:rPr>
                <w:rFonts w:ascii="Times New Roman" w:hAnsi="Times New Roman"/>
                <w:sz w:val="17"/>
              </w:rPr>
              <w:t>DenseNet121</w:t>
            </w:r>
          </w:p>
        </w:tc>
        <w:tc>
          <w:tcPr>
            <w:tcW w:type="dxa" w:w="1613"/>
            <w:vAlign w:val="center"/>
            <w:tcMar>
              <w:top w:w="90" w:type="dxa"/>
              <w:start w:w="110" w:type="dxa"/>
              <w:bottom w:w="90" w:type="dxa"/>
              <w:end w:w="110" w:type="dxa"/>
            </w:tcMar>
          </w:tcPr>
          <w:p>
            <w:pPr>
              <w:spacing w:after="0" w:line="240" w:lineRule="auto"/>
            </w:pPr>
            <w:r>
              <w:rPr>
                <w:rFonts w:ascii="Times New Roman" w:hAnsi="Times New Roman"/>
                <w:sz w:val="17"/>
              </w:rPr>
              <w:t>Image classification</w:t>
            </w:r>
          </w:p>
        </w:tc>
        <w:tc>
          <w:tcPr>
            <w:tcW w:type="dxa" w:w="4320"/>
            <w:vAlign w:val="center"/>
            <w:tcMar>
              <w:top w:w="90" w:type="dxa"/>
              <w:start w:w="110" w:type="dxa"/>
              <w:bottom w:w="90" w:type="dxa"/>
              <w:end w:w="110" w:type="dxa"/>
            </w:tcMar>
          </w:tcPr>
          <w:p>
            <w:pPr>
              <w:spacing w:after="0" w:line="240" w:lineRule="auto"/>
            </w:pPr>
            <w:r>
              <w:rPr>
                <w:rFonts w:ascii="Times New Roman" w:hAnsi="Times New Roman"/>
                <w:sz w:val="17"/>
              </w:rPr>
              <w:t>A 121-layer convolutional neural network. Dense connections pass feature maps between layers so later layers can reuse earlier image features. In this system it screens the complete chest X-ray.</w:t>
            </w:r>
          </w:p>
        </w:tc>
        <w:tc>
          <w:tcPr>
            <w:tcW w:type="dxa" w:w="2491"/>
            <w:vAlign w:val="center"/>
            <w:tcMar>
              <w:top w:w="90" w:type="dxa"/>
              <w:start w:w="110" w:type="dxa"/>
              <w:bottom w:w="90" w:type="dxa"/>
              <w:end w:w="110" w:type="dxa"/>
            </w:tcMar>
          </w:tcPr>
          <w:p>
            <w:pPr>
              <w:spacing w:after="0" w:line="240" w:lineRule="auto"/>
            </w:pPr>
            <w:r>
              <w:rPr>
                <w:rFonts w:ascii="Times New Roman" w:hAnsi="Times New Roman"/>
                <w:sz w:val="17"/>
              </w:rPr>
              <w:t>Image-level class prediction or score used by the screening workflow.</w:t>
            </w:r>
          </w:p>
        </w:tc>
      </w:tr>
      <w:tr>
        <w:trPr>
          <w:cantSplit/>
        </w:trPr>
        <w:tc>
          <w:tcPr>
            <w:tcW w:type="dxa" w:w="1440"/>
            <w:vAlign w:val="center"/>
            <w:tcMar>
              <w:top w:w="90" w:type="dxa"/>
              <w:start w:w="110" w:type="dxa"/>
              <w:bottom w:w="90" w:type="dxa"/>
              <w:end w:w="110" w:type="dxa"/>
            </w:tcMar>
          </w:tcPr>
          <w:p>
            <w:pPr>
              <w:spacing w:after="0" w:line="240" w:lineRule="auto"/>
            </w:pPr>
            <w:r>
              <w:rPr>
                <w:rFonts w:ascii="Times New Roman" w:hAnsi="Times New Roman"/>
                <w:sz w:val="17"/>
              </w:rPr>
              <w:t>YOLO11n</w:t>
            </w:r>
          </w:p>
        </w:tc>
        <w:tc>
          <w:tcPr>
            <w:tcW w:type="dxa" w:w="1613"/>
            <w:vAlign w:val="center"/>
            <w:tcMar>
              <w:top w:w="90" w:type="dxa"/>
              <w:start w:w="110" w:type="dxa"/>
              <w:bottom w:w="90" w:type="dxa"/>
              <w:end w:w="110" w:type="dxa"/>
            </w:tcMar>
          </w:tcPr>
          <w:p>
            <w:pPr>
              <w:spacing w:after="0" w:line="240" w:lineRule="auto"/>
            </w:pPr>
            <w:r>
              <w:rPr>
                <w:rFonts w:ascii="Times New Roman" w:hAnsi="Times New Roman"/>
                <w:sz w:val="17"/>
              </w:rPr>
              <w:t>Object detection</w:t>
            </w:r>
          </w:p>
        </w:tc>
        <w:tc>
          <w:tcPr>
            <w:tcW w:type="dxa" w:w="4320"/>
            <w:vAlign w:val="center"/>
            <w:tcMar>
              <w:top w:w="90" w:type="dxa"/>
              <w:start w:w="110" w:type="dxa"/>
              <w:bottom w:w="90" w:type="dxa"/>
              <w:end w:w="110" w:type="dxa"/>
            </w:tcMar>
          </w:tcPr>
          <w:p>
            <w:pPr>
              <w:spacing w:after="0" w:line="240" w:lineRule="auto"/>
            </w:pPr>
            <w:r>
              <w:rPr>
                <w:rFonts w:ascii="Times New Roman" w:hAnsi="Times New Roman"/>
                <w:sz w:val="17"/>
              </w:rPr>
              <w:t>The nano-sized YOLO11 model variant configured to detect and locate candidate regions in an image. It processes the radiograph for localized visual findings.</w:t>
            </w:r>
          </w:p>
        </w:tc>
        <w:tc>
          <w:tcPr>
            <w:tcW w:type="dxa" w:w="2491"/>
            <w:vAlign w:val="center"/>
            <w:tcMar>
              <w:top w:w="90" w:type="dxa"/>
              <w:start w:w="110" w:type="dxa"/>
              <w:bottom w:w="90" w:type="dxa"/>
              <w:end w:w="110" w:type="dxa"/>
            </w:tcMar>
          </w:tcPr>
          <w:p>
            <w:pPr>
              <w:spacing w:after="0" w:line="240" w:lineRule="auto"/>
            </w:pPr>
            <w:r>
              <w:rPr>
                <w:rFonts w:ascii="Times New Roman" w:hAnsi="Times New Roman"/>
                <w:sz w:val="17"/>
              </w:rPr>
              <w:t>Candidate bounding boxes with predicted class and confidence, displayed as review aids.</w:t>
            </w:r>
          </w:p>
        </w:tc>
      </w:tr>
    </w:tbl>
    <w:p>
      <w:pPr>
        <w:spacing w:after="0" w:before="0"/>
      </w:pPr>
    </w:p>
    <w:p>
      <w:r>
        <w:t>A detection box marks a model-identified candidate region; it does not confirm a clinical finding. The radiologist reviews the full study and decides whether the highlighted region is relevant.</w:t>
      </w:r>
    </w:p>
    <w:p>
      <w:pPr>
        <w:pStyle w:val="Heading1"/>
        <w:keepNext/>
      </w:pPr>
      <w:r>
        <w:rPr>
          <w:rFonts w:ascii="Times New Roman" w:hAnsi="Times New Roman"/>
          <w:b/>
          <w:color w:val="000000"/>
          <w:sz w:val="28"/>
        </w:rPr>
        <w:t>What ROC-AUC means</w:t>
      </w:r>
    </w:p>
    <w:p>
      <w:r>
        <w:t>The receiver operating characteristic (ROC) curve plots the true positive rate (sensitivity) against the false positive rate (1 minus specificity) as the decision threshold changes. The area under that curve, or ROC-AUC, summarizes how well a model ranks positive cases above negative cases across thresholds. A value of 0.5 represents chance-level ranking, while 1.0 represents perfect separation on the evaluated data.</w:t>
      </w:r>
    </w:p>
    <w:tbl>
      <w:tblPr>
        <w:tblW w:type="auto" w:w="0"/>
        <w:jc w:val="center"/>
        <w:tblLayout w:type="fixed"/>
        <w:tblLook w:firstColumn="1" w:firstRow="1" w:lastColumn="0" w:lastRow="0" w:noHBand="0" w:noVBand="1" w:val="04A0"/>
        <w:tblBorders>
          <w:top w:val="single" w:sz="5" w:space="0" w:color="B7C1CB"/>
          <w:left w:val="single" w:sz="5" w:space="0" w:color="B7C1CB"/>
          <w:bottom w:val="single" w:sz="5" w:space="0" w:color="B7C1CB"/>
          <w:right w:val="single" w:sz="5" w:space="0" w:color="B7C1CB"/>
          <w:insideH w:val="single" w:sz="5" w:space="0" w:color="B7C1CB"/>
          <w:insideV w:val="single" w:sz="5" w:space="0" w:color="B7C1CB"/>
        </w:tblBorders>
      </w:tblPr>
      <w:tblGrid>
        <w:gridCol w:w="3221"/>
        <w:gridCol w:w="3221"/>
        <w:gridCol w:w="3221"/>
      </w:tblGrid>
      <w:tr>
        <w:trPr>
          <w:tblHeader w:val="true"/>
        </w:trPr>
        <w:tc>
          <w:tcPr>
            <w:tcW w:type="dxa" w:w="1584"/>
            <w:vAlign w:val="center"/>
            <w:shd w:fill="E6EDF3"/>
            <w:tcMar>
              <w:top w:w="90" w:type="dxa"/>
              <w:start w:w="110" w:type="dxa"/>
              <w:bottom w:w="90" w:type="dxa"/>
              <w:end w:w="110" w:type="dxa"/>
            </w:tcMar>
          </w:tcPr>
          <w:p>
            <w:pPr>
              <w:spacing w:after="0"/>
            </w:pPr>
            <w:r>
              <w:rPr>
                <w:rFonts w:ascii="Times New Roman" w:hAnsi="Times New Roman"/>
                <w:b/>
                <w:sz w:val="17"/>
              </w:rPr>
              <w:t>Measure</w:t>
            </w:r>
          </w:p>
        </w:tc>
        <w:tc>
          <w:tcPr>
            <w:tcW w:type="dxa" w:w="3816"/>
            <w:vAlign w:val="center"/>
            <w:shd w:fill="E6EDF3"/>
            <w:tcMar>
              <w:top w:w="90" w:type="dxa"/>
              <w:start w:w="110" w:type="dxa"/>
              <w:bottom w:w="90" w:type="dxa"/>
              <w:end w:w="110" w:type="dxa"/>
            </w:tcMar>
          </w:tcPr>
          <w:p>
            <w:pPr>
              <w:spacing w:after="0"/>
            </w:pPr>
            <w:r>
              <w:rPr>
                <w:rFonts w:ascii="Times New Roman" w:hAnsi="Times New Roman"/>
                <w:b/>
                <w:sz w:val="17"/>
              </w:rPr>
              <w:t>Definition</w:t>
            </w:r>
          </w:p>
        </w:tc>
        <w:tc>
          <w:tcPr>
            <w:tcW w:type="dxa" w:w="4464"/>
            <w:vAlign w:val="center"/>
            <w:shd w:fill="E6EDF3"/>
            <w:tcMar>
              <w:top w:w="90" w:type="dxa"/>
              <w:start w:w="110" w:type="dxa"/>
              <w:bottom w:w="90" w:type="dxa"/>
              <w:end w:w="110" w:type="dxa"/>
            </w:tcMar>
          </w:tcPr>
          <w:p>
            <w:pPr>
              <w:spacing w:after="0"/>
            </w:pPr>
            <w:r>
              <w:rPr>
                <w:rFonts w:ascii="Times New Roman" w:hAnsi="Times New Roman"/>
                <w:b/>
                <w:sz w:val="17"/>
              </w:rPr>
              <w:t>Why it matters for triage</w:t>
            </w:r>
          </w:p>
        </w:tc>
      </w:tr>
      <w:tr>
        <w:trPr>
          <w:cantSplit/>
        </w:trPr>
        <w:tc>
          <w:tcPr>
            <w:tcW w:type="dxa" w:w="1584"/>
            <w:vAlign w:val="center"/>
            <w:tcMar>
              <w:top w:w="90" w:type="dxa"/>
              <w:start w:w="110" w:type="dxa"/>
              <w:bottom w:w="90" w:type="dxa"/>
              <w:end w:w="110" w:type="dxa"/>
            </w:tcMar>
          </w:tcPr>
          <w:p>
            <w:pPr>
              <w:spacing w:after="0" w:line="240" w:lineRule="auto"/>
            </w:pPr>
            <w:r>
              <w:rPr>
                <w:rFonts w:ascii="Times New Roman" w:hAnsi="Times New Roman"/>
                <w:sz w:val="17"/>
              </w:rPr>
              <w:t>Sensitivity</w:t>
            </w:r>
          </w:p>
        </w:tc>
        <w:tc>
          <w:tcPr>
            <w:tcW w:type="dxa" w:w="3816"/>
            <w:vAlign w:val="center"/>
            <w:tcMar>
              <w:top w:w="90" w:type="dxa"/>
              <w:start w:w="110" w:type="dxa"/>
              <w:bottom w:w="90" w:type="dxa"/>
              <w:end w:w="110" w:type="dxa"/>
            </w:tcMar>
          </w:tcPr>
          <w:p>
            <w:pPr>
              <w:spacing w:after="0" w:line="240" w:lineRule="auto"/>
            </w:pPr>
            <w:r>
              <w:rPr>
                <w:rFonts w:ascii="Times New Roman" w:hAnsi="Times New Roman"/>
                <w:sz w:val="17"/>
              </w:rPr>
              <w:t>True positives divided by all actual positives.</w:t>
            </w:r>
          </w:p>
        </w:tc>
        <w:tc>
          <w:tcPr>
            <w:tcW w:type="dxa" w:w="4464"/>
            <w:vAlign w:val="center"/>
            <w:tcMar>
              <w:top w:w="90" w:type="dxa"/>
              <w:start w:w="110" w:type="dxa"/>
              <w:bottom w:w="90" w:type="dxa"/>
              <w:end w:w="110" w:type="dxa"/>
            </w:tcMar>
          </w:tcPr>
          <w:p>
            <w:pPr>
              <w:spacing w:after="0" w:line="240" w:lineRule="auto"/>
            </w:pPr>
            <w:r>
              <w:rPr>
                <w:rFonts w:ascii="Times New Roman" w:hAnsi="Times New Roman"/>
                <w:sz w:val="17"/>
              </w:rPr>
              <w:t>Shows how many urgent cases the chosen threshold detects.</w:t>
            </w:r>
          </w:p>
        </w:tc>
      </w:tr>
      <w:tr>
        <w:trPr>
          <w:cantSplit/>
        </w:trPr>
        <w:tc>
          <w:tcPr>
            <w:tcW w:type="dxa" w:w="1584"/>
            <w:vAlign w:val="center"/>
            <w:tcMar>
              <w:top w:w="90" w:type="dxa"/>
              <w:start w:w="110" w:type="dxa"/>
              <w:bottom w:w="90" w:type="dxa"/>
              <w:end w:w="110" w:type="dxa"/>
            </w:tcMar>
          </w:tcPr>
          <w:p>
            <w:pPr>
              <w:spacing w:after="0" w:line="240" w:lineRule="auto"/>
            </w:pPr>
            <w:r>
              <w:rPr>
                <w:rFonts w:ascii="Times New Roman" w:hAnsi="Times New Roman"/>
                <w:sz w:val="17"/>
              </w:rPr>
              <w:t>Specificity</w:t>
            </w:r>
          </w:p>
        </w:tc>
        <w:tc>
          <w:tcPr>
            <w:tcW w:type="dxa" w:w="3816"/>
            <w:vAlign w:val="center"/>
            <w:tcMar>
              <w:top w:w="90" w:type="dxa"/>
              <w:start w:w="110" w:type="dxa"/>
              <w:bottom w:w="90" w:type="dxa"/>
              <w:end w:w="110" w:type="dxa"/>
            </w:tcMar>
          </w:tcPr>
          <w:p>
            <w:pPr>
              <w:spacing w:after="0" w:line="240" w:lineRule="auto"/>
            </w:pPr>
            <w:r>
              <w:rPr>
                <w:rFonts w:ascii="Times New Roman" w:hAnsi="Times New Roman"/>
                <w:sz w:val="17"/>
              </w:rPr>
              <w:t>True negatives divided by all actual negatives.</w:t>
            </w:r>
          </w:p>
        </w:tc>
        <w:tc>
          <w:tcPr>
            <w:tcW w:type="dxa" w:w="4464"/>
            <w:vAlign w:val="center"/>
            <w:tcMar>
              <w:top w:w="90" w:type="dxa"/>
              <w:start w:w="110" w:type="dxa"/>
              <w:bottom w:w="90" w:type="dxa"/>
              <w:end w:w="110" w:type="dxa"/>
            </w:tcMar>
          </w:tcPr>
          <w:p>
            <w:pPr>
              <w:spacing w:after="0" w:line="240" w:lineRule="auto"/>
            </w:pPr>
            <w:r>
              <w:rPr>
                <w:rFonts w:ascii="Times New Roman" w:hAnsi="Times New Roman"/>
                <w:sz w:val="17"/>
              </w:rPr>
              <w:t>Shows how many non-urgent cases remain unflagged.</w:t>
            </w:r>
          </w:p>
        </w:tc>
      </w:tr>
      <w:tr>
        <w:trPr>
          <w:cantSplit/>
        </w:trPr>
        <w:tc>
          <w:tcPr>
            <w:tcW w:type="dxa" w:w="1584"/>
            <w:vAlign w:val="center"/>
            <w:tcMar>
              <w:top w:w="90" w:type="dxa"/>
              <w:start w:w="110" w:type="dxa"/>
              <w:bottom w:w="90" w:type="dxa"/>
              <w:end w:w="110" w:type="dxa"/>
            </w:tcMar>
          </w:tcPr>
          <w:p>
            <w:pPr>
              <w:spacing w:after="0" w:line="240" w:lineRule="auto"/>
            </w:pPr>
            <w:r>
              <w:rPr>
                <w:rFonts w:ascii="Times New Roman" w:hAnsi="Times New Roman"/>
                <w:sz w:val="17"/>
              </w:rPr>
              <w:t>ROC-AUC</w:t>
            </w:r>
          </w:p>
        </w:tc>
        <w:tc>
          <w:tcPr>
            <w:tcW w:type="dxa" w:w="3816"/>
            <w:vAlign w:val="center"/>
            <w:tcMar>
              <w:top w:w="90" w:type="dxa"/>
              <w:start w:w="110" w:type="dxa"/>
              <w:bottom w:w="90" w:type="dxa"/>
              <w:end w:w="110" w:type="dxa"/>
            </w:tcMar>
          </w:tcPr>
          <w:p>
            <w:pPr>
              <w:spacing w:after="0" w:line="240" w:lineRule="auto"/>
            </w:pPr>
            <w:r>
              <w:rPr>
                <w:rFonts w:ascii="Times New Roman" w:hAnsi="Times New Roman"/>
                <w:sz w:val="17"/>
              </w:rPr>
              <w:t>Area under the sensitivity-versus-false-positive-rate curve across thresholds.</w:t>
            </w:r>
          </w:p>
        </w:tc>
        <w:tc>
          <w:tcPr>
            <w:tcW w:type="dxa" w:w="4464"/>
            <w:vAlign w:val="center"/>
            <w:tcMar>
              <w:top w:w="90" w:type="dxa"/>
              <w:start w:w="110" w:type="dxa"/>
              <w:bottom w:w="90" w:type="dxa"/>
              <w:end w:w="110" w:type="dxa"/>
            </w:tcMar>
          </w:tcPr>
          <w:p>
            <w:pPr>
              <w:spacing w:after="0" w:line="240" w:lineRule="auto"/>
            </w:pPr>
            <w:r>
              <w:rPr>
                <w:rFonts w:ascii="Times New Roman" w:hAnsi="Times New Roman"/>
                <w:sz w:val="17"/>
              </w:rPr>
              <w:t>Summarizes ranking performance; it does not select the operating threshold.</w:t>
            </w:r>
          </w:p>
        </w:tc>
      </w:tr>
    </w:tbl>
    <w:p>
      <w:pPr>
        <w:spacing w:after="0" w:before="0"/>
      </w:pPr>
    </w:p>
    <w:p>
      <w:r>
        <w:t>ROC-AUC is not the same as accuracy, a confidence calibration measure or a clinical outcome. For a meaningful report, calculate it on an independent, representative test set and state the target label and evaluation method. Also report sensitivity, specificity and workload at the threshold selected for the clinical workflow. A model name alone does not establish a numerical ROC-AUC result.</w:t>
      </w:r>
    </w:p>
    <w:p>
      <w:pPr>
        <w:pStyle w:val="Heading1"/>
        <w:keepNext/>
      </w:pPr>
      <w:r>
        <w:rPr>
          <w:rFonts w:ascii="Times New Roman" w:hAnsi="Times New Roman"/>
          <w:b/>
          <w:color w:val="000000"/>
          <w:sz w:val="28"/>
        </w:rPr>
        <w:t>Technical References</w:t>
      </w:r>
    </w:p>
    <w:p>
      <w:pPr>
        <w:spacing w:after="40" w:line="240" w:lineRule="auto"/>
      </w:pPr>
      <w:r>
        <w:rPr>
          <w:sz w:val="16"/>
        </w:rPr>
        <w:t>DenseNet: Huang et al., CVPR 2017, Densely Connected Convolutional Networks, https://openaccess.thecvf.com/content_cvpr_2017/html/Huang_Densely_Connected_Convolutional_CVPR_2017_paper.html</w:t>
        <w:br/>
      </w:r>
      <w:r>
        <w:rPr>
          <w:sz w:val="16"/>
        </w:rPr>
        <w:t>YOLO11: Ultralytics model documentation, https://docs.ultralytics.com/models/yolo11/</w:t>
        <w:br/>
      </w:r>
      <w:r>
        <w:rPr>
          <w:sz w:val="16"/>
        </w:rPr>
        <w:t>ROC-AUC: scikit-learn metric documentation, https://scikit-learn.org/stable/modules/generated/sklearn.metrics.roc_auc_score.html</w:t>
      </w:r>
    </w:p>
    <w:sectPr w:rsidR="00FC693F" w:rsidRPr="0006063C" w:rsidSect="00034616">
      <w:pgSz w:w="11909" w:h="16834"/>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Times New Roman" w:hAnsi="Times New Roman" w:eastAsia="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cs="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Radiology Triage System</dc:title>
  <dc:subject>Clinical platform brief for chest X-ray triage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