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65"/>
      </w:pPr>
      <w:r>
        <w:rPr>
          <w:b/>
          <w:color w:val="087E83"/>
          <w:sz w:val="17"/>
          <w:caps/>
        </w:rPr>
        <w:t>MERIDIAN HEALTHCARE  |  SOLUTION BRIEF</w:t>
      </w:r>
    </w:p>
    <w:p>
      <w:pPr>
        <w:pStyle w:val="Title"/>
      </w:pPr>
      <w:r>
        <w:t>AI Radiology Triage System</w:t>
      </w:r>
    </w:p>
    <w:p>
      <w:pPr>
        <w:pStyle w:val="Subtitle"/>
      </w:pPr>
      <w:r>
        <w:t>Prioritizing chest X-ray review with traceable, clinician-led workflows</w:t>
      </w:r>
    </w:p>
    <w:p>
      <w:pPr>
        <w:pStyle w:val="Heading1"/>
      </w:pPr>
      <w:r>
        <w:t>Problem</w:t>
      </w:r>
    </w:p>
    <w:p>
      <w:r>
        <w:t>Busy imaging queues can make time-sensitive chest X-rays harder to identify for earlier review. Requests, images, and review records may also be disconnected across systems, making coordination and follow-up difficult to track.</w:t>
      </w:r>
    </w:p>
    <w:p>
      <w:pPr>
        <w:pStyle w:val="Heading1"/>
      </w:pPr>
      <w:r>
        <w:t>Solution</w:t>
      </w:r>
    </w:p>
    <w:p>
      <w:r>
        <w:t>The system screens supported chest X-ray studies, assigns a prioritization category, and can mark candidate lung-opacity regions for radiologist attention. It links the imaging request and accession with the uploaded DICOM image, AI screening output, and radiologist review. The AI supports attention management; the radiologist retains responsibility for interpretation and reporting.</w:t>
      </w:r>
    </w:p>
    <w:p>
      <w:pPr>
        <w:pStyle w:val="Heading1"/>
      </w:pPr>
      <w:r>
        <w:t>Platform</w:t>
      </w:r>
    </w:p>
    <w:p>
      <w:r>
        <w:t>Integrated into the hospital’s Diagnostics and Imaging workflow for chest X-rays with PA, AP, or PA+AP projections. The documented screening pipeline uses DenseNet121 for image classification and YOLO11n for candidate-region detection. The workflow connects order, image, screening, and human review records; it is not an autonomous diagnostic or reporting service.</w:t>
      </w:r>
    </w:p>
    <w:p>
      <w:pPr>
        <w:pStyle w:val="Heading1"/>
      </w:pPr>
      <w:r>
        <w:t>Impact</w:t>
      </w:r>
    </w:p>
    <w:p>
      <w:r>
        <w:t>Expected operational value is faster attention to potentially urgent studies, clearer doctor–radiologist communication, and stronger review traceability. The repository reports development evaluation results of DenseNet ROC-AUC 0.85 and YOLO mAP@0.5 0.444 (precision 0.483; recall 0.431). These are not clinical validation results or evidence of improved patient outcomes; local clinical validation is required before operational reliance.</w:t>
      </w:r>
    </w:p>
    <w:p>
      <w:pPr>
        <w:pStyle w:val="SmallNote"/>
      </w:pPr>
      <w:r>
        <w:t>Source: Meridian Healthcare AI Agents Business Overview, reviewed 15 October 2026. Model metrics reflect the documented project evaluation and may vary by deployment.</w:t>
      </w:r>
    </w:p>
    <w:sectPr>
      <w:pgSz w:w="12240" w:h="15840"/>
      <w:pgMar w:top="820" w:right="1080" w:bottom="820" w:left="108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color w:val="202A35"/>
        <w:sz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80"/>
    </w:pPr>
    <w:rPr>
      <w:rFonts w:ascii="Aptos Display" w:hAnsi="Aptos Display"/>
      <w:b/>
      <w:color w:val="111820"/>
      <w:sz w:val="440"/>
    </w:rPr>
  </w:style>
  <w:style w:type="paragraph" w:styleId="Subtitle">
    <w:name w:val="Subtitle"/>
    <w:basedOn w:val="Normal"/>
    <w:pPr>
      <w:spacing w:after="180"/>
    </w:pPr>
    <w:rPr>
      <w:color w:val="536579"/>
      <w:sz w:val="22"/>
    </w:rPr>
  </w:style>
  <w:style w:type="paragraph" w:styleId="Heading1">
    <w:name w:val="heading 1"/>
    <w:basedOn w:val="Normal"/>
    <w:next w:val="Normal"/>
    <w:pPr>
      <w:keepNext/>
      <w:spacing w:before="150" w:after="45"/>
    </w:pPr>
    <w:rPr>
      <w:rFonts w:ascii="Aptos Display" w:hAnsi="Aptos Display"/>
      <w:b/>
      <w:color w:val="087E83"/>
      <w:sz w:val="240"/>
    </w:rPr>
  </w:style>
  <w:style w:type="paragraph" w:styleId="SmallNote">
    <w:name w:val="Small Note"/>
    <w:basedOn w:val="Normal"/>
    <w:pPr>
      <w:spacing w:before="80" w:after="0"/>
    </w:pPr>
    <w:rPr>
      <w:color w:val="65758A"/>
      <w:sz w:val="1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 Radiology Triage System</dc:title>
  <dc:subject>One-page solution brief</dc:subject>
  <dc:creator>Meridian Healthcare</dc:creator>
  <dcterms:created xsi:type="dcterms:W3CDTF">2026-10-16T00:00:00Z</dcterms:created>
</cp:coreProperties>
</file>