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0E7490"/>
          <w:sz w:val="22"/>
        </w:rPr>
        <w:t>MERIDIAN HEALTHCARE PLATFORM · AGENTIC AI ARCHITECTURE</w:t>
      </w:r>
    </w:p>
    <w:p>
      <w:pPr>
        <w:spacing w:before="40" w:after="120"/>
      </w:pPr>
      <w:r>
        <w:rPr>
          <w:rFonts w:ascii="Calibri" w:hAnsi="Calibri"/>
          <w:b/>
          <w:color w:val="0F2C59"/>
          <w:sz w:val="42"/>
        </w:rPr>
        <w:t>The 4 Core Agentic Engineering Disciplines:</w:t>
        <w:br/>
        <w:t>Graph, Harness, Context &amp; Loop Engineering</w:t>
      </w:r>
    </w:p>
    <w:p>
      <w:pPr>
        <w:spacing w:before="0" w:after="240"/>
      </w:pPr>
      <w:r>
        <w:rPr>
          <w:rFonts w:ascii="Calibri" w:hAnsi="Calibri"/>
          <w:color w:val="0E7490"/>
          <w:sz w:val="22"/>
        </w:rPr>
        <w:t>Architectural Deep Dive, Theoretical Foundations, Individual Deconstruction, Grounded Implementation in the Discharge Summary Agent, and Unified Cohesion.</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180" w:type="dxa"/>
              <w:right w:w="180" w:type="dxa"/>
            </w:tcMar>
            <w:tcBorders>
              <w:left w:val="single" w:sz="24" w:space="0" w:color="0E7490"/>
              <w:top w:val="none"/>
              <w:right w:val="none"/>
              <w:bottom w:val="none"/>
            </w:tcBorders>
          </w:tcPr>
          <w:p>
            <w:pPr>
              <w:spacing w:before="40" w:after="40" w:line="276" w:lineRule="auto"/>
            </w:pPr>
            <w:r>
              <w:rPr>
                <w:rFonts w:ascii="Calibri" w:hAnsi="Calibri"/>
                <w:b/>
                <w:color w:val="0E7490"/>
                <w:sz w:val="22"/>
              </w:rPr>
              <w:t>EXECUTIVE SUMMARY &amp; ARCHITECTURAL SCOPE</w:t>
              <w:br/>
            </w:r>
            <w:r>
              <w:rPr>
                <w:rFonts w:ascii="Calibri" w:hAnsi="Calibri"/>
                <w:i w:val="0"/>
                <w:color w:val="1E293B"/>
                <w:sz w:val="20"/>
              </w:rPr>
              <w:t>Modern production-grade LLM applications have transcended simple single-prompt completions. Enterprise healthcare agents require four foundational disciplines: Graph Engineering (topology &amp; state machines), Harness Engineering (safety rails, runtime, telemetry, side-effect boundaries), Context Engineering (high-signal lakehouse data assembly), and Loop Engineering (feedback cycles, evaluation sweeps, self-correction, and human sign-off). This document explains each concept theoretically, deconstructs its concrete implementation in our production Discharge Summary Agent (DischargeAgentPipeline), and synthesizes how all four combine to deliver safe clinical autonomy.</w:t>
            </w:r>
          </w:p>
        </w:tc>
      </w:tr>
    </w:tbl>
    <w:p>
      <w:pPr>
        <w:spacing w:before="20" w:after="40"/>
      </w:pPr>
    </w:p>
    <w:p>
      <w:pPr>
        <w:keepNext/>
        <w:spacing w:before="320" w:after="120"/>
      </w:pPr>
      <w:r>
        <w:rPr>
          <w:rFonts w:ascii="Calibri" w:hAnsi="Calibri"/>
          <w:b/>
          <w:color w:val="0F2C59"/>
          <w:sz w:val="34"/>
        </w:rPr>
        <w:t>1. High-Level Taxonomy of the 4 Disciplines</w:t>
      </w:r>
    </w:p>
    <w:p>
      <w:pPr>
        <w:spacing w:before="0" w:after="80" w:line="276" w:lineRule="auto"/>
      </w:pPr>
      <w:r>
        <w:rPr>
          <w:rFonts w:ascii="Calibri" w:hAnsi="Calibri"/>
          <w:color w:val="1F2937"/>
        </w:rPr>
        <w:t>When building autonomous agents in mission-critical environments such as hospitals, relying solely on prompt engineering leads to brittleness, hallucinations, safety violations, and unmanageable state drift. The agentic engineering paradigm splits system design into four distinct but interdependent layers:</w:t>
      </w:r>
    </w:p>
    <w:tbl>
      <w:tblPr>
        <w:tblW w:type="auto" w:w="0"/>
        <w:jc w:val="center"/>
        <w:tblLook w:firstColumn="1" w:firstRow="1" w:lastColumn="0" w:lastRow="0" w:noHBand="0" w:noVBand="1" w:val="04A0"/>
      </w:tblPr>
      <w:tblGrid>
        <w:gridCol w:w="2448"/>
        <w:gridCol w:w="2448"/>
        <w:gridCol w:w="2448"/>
        <w:gridCol w:w="2448"/>
      </w:tblGrid>
      <w:tr>
        <w:tc>
          <w:tcPr>
            <w:tcW w:type="dxa" w:w="2160"/>
            <w:shd w:fill="0F2C59"/>
            <w:tcMar>
              <w:top w:w="120" w:type="dxa"/>
              <w:bottom w:w="120" w:type="dxa"/>
              <w:left w:w="140" w:type="dxa"/>
              <w:right w:w="140" w:type="dxa"/>
            </w:tcMar>
          </w:tcPr>
          <w:p>
            <w:pPr>
              <w:spacing w:before="40" w:after="40"/>
            </w:pPr>
            <w:r>
              <w:rPr>
                <w:rFonts w:ascii="Calibri" w:hAnsi="Calibri"/>
                <w:b/>
                <w:color w:val="FFFFFF"/>
                <w:sz w:val="20"/>
              </w:rPr>
              <w:t>Engineering Paradigm</w:t>
            </w:r>
          </w:p>
        </w:tc>
        <w:tc>
          <w:tcPr>
            <w:tcW w:type="dxa" w:w="2592"/>
            <w:shd w:fill="0F2C59"/>
            <w:tcMar>
              <w:top w:w="120" w:type="dxa"/>
              <w:bottom w:w="120" w:type="dxa"/>
              <w:left w:w="140" w:type="dxa"/>
              <w:right w:w="140" w:type="dxa"/>
            </w:tcMar>
          </w:tcPr>
          <w:p>
            <w:pPr>
              <w:spacing w:before="40" w:after="40"/>
            </w:pPr>
            <w:r>
              <w:rPr>
                <w:rFonts w:ascii="Calibri" w:hAnsi="Calibri"/>
                <w:b/>
                <w:color w:val="FFFFFF"/>
                <w:sz w:val="20"/>
              </w:rPr>
              <w:t>Core Question Answered</w:t>
            </w:r>
          </w:p>
        </w:tc>
        <w:tc>
          <w:tcPr>
            <w:tcW w:type="dxa" w:w="2592"/>
            <w:shd w:fill="0F2C59"/>
            <w:tcMar>
              <w:top w:w="120" w:type="dxa"/>
              <w:bottom w:w="120" w:type="dxa"/>
              <w:left w:w="140" w:type="dxa"/>
              <w:right w:w="140" w:type="dxa"/>
            </w:tcMar>
          </w:tcPr>
          <w:p>
            <w:pPr>
              <w:spacing w:before="40" w:after="40"/>
            </w:pPr>
            <w:r>
              <w:rPr>
                <w:rFonts w:ascii="Calibri" w:hAnsi="Calibri"/>
                <w:b/>
                <w:color w:val="FFFFFF"/>
                <w:sz w:val="20"/>
              </w:rPr>
              <w:t>Primary Mechanism</w:t>
            </w:r>
          </w:p>
        </w:tc>
        <w:tc>
          <w:tcPr>
            <w:tcW w:type="dxa" w:w="2448"/>
            <w:shd w:fill="0F2C59"/>
            <w:tcMar>
              <w:top w:w="120" w:type="dxa"/>
              <w:bottom w:w="120" w:type="dxa"/>
              <w:left w:w="140" w:type="dxa"/>
              <w:right w:w="140" w:type="dxa"/>
            </w:tcMar>
          </w:tcPr>
          <w:p>
            <w:pPr>
              <w:spacing w:before="40" w:after="40"/>
            </w:pPr>
            <w:r>
              <w:rPr>
                <w:rFonts w:ascii="Calibri" w:hAnsi="Calibri"/>
                <w:b/>
                <w:color w:val="FFFFFF"/>
                <w:sz w:val="20"/>
              </w:rPr>
              <w:t>Discharge Agent Equivalent</w:t>
            </w:r>
          </w:p>
        </w:tc>
      </w:tr>
      <w:tr>
        <w:tc>
          <w:tcPr>
            <w:tcW w:type="dxa" w:w="2160"/>
            <w:shd w:fill="FFFFFF"/>
            <w:tcMar>
              <w:top w:w="100" w:type="dxa"/>
              <w:bottom w:w="100" w:type="dxa"/>
              <w:left w:w="140" w:type="dxa"/>
              <w:right w:w="140" w:type="dxa"/>
            </w:tcMar>
          </w:tcPr>
          <w:p>
            <w:pPr>
              <w:spacing w:before="40" w:after="40" w:line="276" w:lineRule="auto"/>
            </w:pPr>
            <w:r>
              <w:rPr>
                <w:rFonts w:ascii="Calibri" w:hAnsi="Calibri"/>
                <w:color w:val="1E293B"/>
                <w:sz w:val="19"/>
              </w:rPr>
              <w:t>Graph Engineering</w:t>
            </w:r>
          </w:p>
        </w:tc>
        <w:tc>
          <w:tcPr>
            <w:tcW w:type="dxa" w:w="2592"/>
            <w:shd w:fill="FFFFFF"/>
            <w:tcMar>
              <w:top w:w="100" w:type="dxa"/>
              <w:bottom w:w="100" w:type="dxa"/>
              <w:left w:w="140" w:type="dxa"/>
              <w:right w:w="140" w:type="dxa"/>
            </w:tcMar>
          </w:tcPr>
          <w:p>
            <w:pPr>
              <w:spacing w:before="40" w:after="40" w:line="276" w:lineRule="auto"/>
            </w:pPr>
            <w:r>
              <w:rPr>
                <w:rFonts w:ascii="Calibri" w:hAnsi="Calibri"/>
                <w:color w:val="1E293B"/>
                <w:sz w:val="19"/>
              </w:rPr>
              <w:t>Where does execution flow and what state exists?</w:t>
            </w:r>
          </w:p>
        </w:tc>
        <w:tc>
          <w:tcPr>
            <w:tcW w:type="dxa" w:w="2592"/>
            <w:shd w:fill="FFFFFF"/>
            <w:tcMar>
              <w:top w:w="100" w:type="dxa"/>
              <w:bottom w:w="100" w:type="dxa"/>
              <w:left w:w="140" w:type="dxa"/>
              <w:right w:w="140" w:type="dxa"/>
            </w:tcMar>
          </w:tcPr>
          <w:p>
            <w:pPr>
              <w:spacing w:before="40" w:after="40" w:line="276" w:lineRule="auto"/>
            </w:pPr>
            <w:r>
              <w:rPr>
                <w:rFonts w:ascii="Calibri" w:hAnsi="Calibri"/>
                <w:color w:val="1E293B"/>
                <w:sz w:val="19"/>
              </w:rPr>
              <w:t>Directed Acyclic Graphs (DAGs), state nodes, conditional branch edges.</w:t>
            </w:r>
          </w:p>
        </w:tc>
        <w:tc>
          <w:tcPr>
            <w:tcW w:type="dxa" w:w="2448"/>
            <w:shd w:fill="FFFFFF"/>
            <w:tcMar>
              <w:top w:w="100" w:type="dxa"/>
              <w:bottom w:w="100" w:type="dxa"/>
              <w:left w:w="140" w:type="dxa"/>
              <w:right w:w="140" w:type="dxa"/>
            </w:tcMar>
          </w:tcPr>
          <w:p>
            <w:pPr>
              <w:spacing w:before="40" w:after="40" w:line="276" w:lineRule="auto"/>
            </w:pPr>
            <w:r>
              <w:rPr>
                <w:rFonts w:ascii="Calibri" w:hAnsi="Calibri"/>
                <w:color w:val="1E293B"/>
                <w:sz w:val="19"/>
              </w:rPr>
              <w:t>Multi-step Pipeline (Candidate -&gt; Extraction -&gt; Gate Evaluation -&gt; Draft -&gt; Sign-off).</w:t>
            </w:r>
          </w:p>
        </w:tc>
      </w:tr>
      <w:tr>
        <w:tc>
          <w:tcPr>
            <w:tcW w:type="dxa" w:w="2160"/>
            <w:shd w:fill="F8FAFC"/>
            <w:tcMar>
              <w:top w:w="100" w:type="dxa"/>
              <w:bottom w:w="100" w:type="dxa"/>
              <w:left w:w="140" w:type="dxa"/>
              <w:right w:w="140" w:type="dxa"/>
            </w:tcMar>
          </w:tcPr>
          <w:p>
            <w:pPr>
              <w:spacing w:before="40" w:after="40" w:line="276" w:lineRule="auto"/>
            </w:pPr>
            <w:r>
              <w:rPr>
                <w:rFonts w:ascii="Calibri" w:hAnsi="Calibri"/>
                <w:color w:val="1E293B"/>
                <w:sz w:val="19"/>
              </w:rPr>
              <w:t>Harness Engineering</w:t>
            </w:r>
          </w:p>
        </w:tc>
        <w:tc>
          <w:tcPr>
            <w:tcW w:type="dxa" w:w="2592"/>
            <w:shd w:fill="F8FAFC"/>
            <w:tcMar>
              <w:top w:w="100" w:type="dxa"/>
              <w:bottom w:w="100" w:type="dxa"/>
              <w:left w:w="140" w:type="dxa"/>
              <w:right w:w="140" w:type="dxa"/>
            </w:tcMar>
          </w:tcPr>
          <w:p>
            <w:pPr>
              <w:spacing w:before="40" w:after="40" w:line="276" w:lineRule="auto"/>
            </w:pPr>
            <w:r>
              <w:rPr>
                <w:rFonts w:ascii="Calibri" w:hAnsi="Calibri"/>
                <w:color w:val="1E293B"/>
                <w:sz w:val="19"/>
              </w:rPr>
              <w:t>How is the LLM bounded, secured, and connected?</w:t>
            </w:r>
          </w:p>
        </w:tc>
        <w:tc>
          <w:tcPr>
            <w:tcW w:type="dxa" w:w="2592"/>
            <w:shd w:fill="F8FAFC"/>
            <w:tcMar>
              <w:top w:w="100" w:type="dxa"/>
              <w:bottom w:w="100" w:type="dxa"/>
              <w:left w:w="140" w:type="dxa"/>
              <w:right w:w="140" w:type="dxa"/>
            </w:tcMar>
          </w:tcPr>
          <w:p>
            <w:pPr>
              <w:spacing w:before="40" w:after="40" w:line="276" w:lineRule="auto"/>
            </w:pPr>
            <w:r>
              <w:rPr>
                <w:rFonts w:ascii="Calibri" w:hAnsi="Calibri"/>
                <w:color w:val="1E293B"/>
                <w:sz w:val="19"/>
              </w:rPr>
              <w:t>Safety rails, transactional isolation, tool execution guards, fallbacks.</w:t>
            </w:r>
          </w:p>
        </w:tc>
        <w:tc>
          <w:tcPr>
            <w:tcW w:type="dxa" w:w="2448"/>
            <w:shd w:fill="F8FAFC"/>
            <w:tcMar>
              <w:top w:w="100" w:type="dxa"/>
              <w:bottom w:w="100" w:type="dxa"/>
              <w:left w:w="140" w:type="dxa"/>
              <w:right w:w="140" w:type="dxa"/>
            </w:tcMar>
          </w:tcPr>
          <w:p>
            <w:pPr>
              <w:spacing w:before="40" w:after="40" w:line="276" w:lineRule="auto"/>
            </w:pPr>
            <w:r>
              <w:rPr>
                <w:rFonts w:ascii="Calibri" w:hAnsi="Calibri"/>
                <w:color w:val="1E293B"/>
                <w:sz w:val="19"/>
              </w:rPr>
              <w:t>PostgreSQL connection pool, deterministic vitals overrides, doctor sign-off gate.</w:t>
            </w:r>
          </w:p>
        </w:tc>
      </w:tr>
      <w:tr>
        <w:tc>
          <w:tcPr>
            <w:tcW w:type="dxa" w:w="2160"/>
            <w:shd w:fill="FFFFFF"/>
            <w:tcMar>
              <w:top w:w="100" w:type="dxa"/>
              <w:bottom w:w="100" w:type="dxa"/>
              <w:left w:w="140" w:type="dxa"/>
              <w:right w:w="140" w:type="dxa"/>
            </w:tcMar>
          </w:tcPr>
          <w:p>
            <w:pPr>
              <w:spacing w:before="40" w:after="40" w:line="276" w:lineRule="auto"/>
            </w:pPr>
            <w:r>
              <w:rPr>
                <w:rFonts w:ascii="Calibri" w:hAnsi="Calibri"/>
                <w:color w:val="1E293B"/>
                <w:sz w:val="19"/>
              </w:rPr>
              <w:t>Context Engineering</w:t>
            </w:r>
          </w:p>
        </w:tc>
        <w:tc>
          <w:tcPr>
            <w:tcW w:type="dxa" w:w="2592"/>
            <w:shd w:fill="FFFFFF"/>
            <w:tcMar>
              <w:top w:w="100" w:type="dxa"/>
              <w:bottom w:w="100" w:type="dxa"/>
              <w:left w:w="140" w:type="dxa"/>
              <w:right w:w="140" w:type="dxa"/>
            </w:tcMar>
          </w:tcPr>
          <w:p>
            <w:pPr>
              <w:spacing w:before="40" w:after="40" w:line="276" w:lineRule="auto"/>
            </w:pPr>
            <w:r>
              <w:rPr>
                <w:rFonts w:ascii="Calibri" w:hAnsi="Calibri"/>
                <w:color w:val="1E293B"/>
                <w:sz w:val="19"/>
              </w:rPr>
              <w:t>What exact signal does the model see at each step?</w:t>
            </w:r>
          </w:p>
        </w:tc>
        <w:tc>
          <w:tcPr>
            <w:tcW w:type="dxa" w:w="2592"/>
            <w:shd w:fill="FFFFFF"/>
            <w:tcMar>
              <w:top w:w="100" w:type="dxa"/>
              <w:bottom w:w="100" w:type="dxa"/>
              <w:left w:w="140" w:type="dxa"/>
              <w:right w:w="140" w:type="dxa"/>
            </w:tcMar>
          </w:tcPr>
          <w:p>
            <w:pPr>
              <w:spacing w:before="40" w:after="40" w:line="276" w:lineRule="auto"/>
            </w:pPr>
            <w:r>
              <w:rPr>
                <w:rFonts w:ascii="Calibri" w:hAnsi="Calibri"/>
                <w:color w:val="1E293B"/>
                <w:sz w:val="19"/>
              </w:rPr>
              <w:t>Dynamic lakehouse ETL, clinical protocol matching, JSON-schema constraints.</w:t>
            </w:r>
          </w:p>
        </w:tc>
        <w:tc>
          <w:tcPr>
            <w:tcW w:type="dxa" w:w="2448"/>
            <w:shd w:fill="FFFFFF"/>
            <w:tcMar>
              <w:top w:w="100" w:type="dxa"/>
              <w:bottom w:w="100" w:type="dxa"/>
              <w:left w:w="140" w:type="dxa"/>
              <w:right w:w="140" w:type="dxa"/>
            </w:tcMar>
          </w:tcPr>
          <w:p>
            <w:pPr>
              <w:spacing w:before="40" w:after="40" w:line="276" w:lineRule="auto"/>
            </w:pPr>
            <w:r>
              <w:rPr>
                <w:rFonts w:ascii="Calibri" w:hAnsi="Calibri"/>
                <w:color w:val="1E293B"/>
                <w:sz w:val="19"/>
              </w:rPr>
              <w:t>Merging admissions, beds, vitals, billing, and CLINICAL_PROTOCOLS into structured payloads.</w:t>
            </w:r>
          </w:p>
        </w:tc>
      </w:tr>
      <w:tr>
        <w:tc>
          <w:tcPr>
            <w:tcW w:type="dxa" w:w="2160"/>
            <w:shd w:fill="F8FAFC"/>
            <w:tcMar>
              <w:top w:w="100" w:type="dxa"/>
              <w:bottom w:w="100" w:type="dxa"/>
              <w:left w:w="140" w:type="dxa"/>
              <w:right w:w="140" w:type="dxa"/>
            </w:tcMar>
          </w:tcPr>
          <w:p>
            <w:pPr>
              <w:spacing w:before="40" w:after="40" w:line="276" w:lineRule="auto"/>
            </w:pPr>
            <w:r>
              <w:rPr>
                <w:rFonts w:ascii="Calibri" w:hAnsi="Calibri"/>
                <w:color w:val="1E293B"/>
                <w:sz w:val="19"/>
              </w:rPr>
              <w:t>Loop Engineering</w:t>
            </w:r>
          </w:p>
        </w:tc>
        <w:tc>
          <w:tcPr>
            <w:tcW w:type="dxa" w:w="2592"/>
            <w:shd w:fill="F8FAFC"/>
            <w:tcMar>
              <w:top w:w="100" w:type="dxa"/>
              <w:bottom w:w="100" w:type="dxa"/>
              <w:left w:w="140" w:type="dxa"/>
              <w:right w:w="140" w:type="dxa"/>
            </w:tcMar>
          </w:tcPr>
          <w:p>
            <w:pPr>
              <w:spacing w:before="40" w:after="40" w:line="276" w:lineRule="auto"/>
            </w:pPr>
            <w:r>
              <w:rPr>
                <w:rFonts w:ascii="Calibri" w:hAnsi="Calibri"/>
                <w:color w:val="1E293B"/>
                <w:sz w:val="19"/>
              </w:rPr>
              <w:t>How does the system iterate, evaluate, and refine?</w:t>
            </w:r>
          </w:p>
        </w:tc>
        <w:tc>
          <w:tcPr>
            <w:tcW w:type="dxa" w:w="2592"/>
            <w:shd w:fill="F8FAFC"/>
            <w:tcMar>
              <w:top w:w="100" w:type="dxa"/>
              <w:bottom w:w="100" w:type="dxa"/>
              <w:left w:w="140" w:type="dxa"/>
              <w:right w:w="140" w:type="dxa"/>
            </w:tcMar>
          </w:tcPr>
          <w:p>
            <w:pPr>
              <w:spacing w:before="40" w:after="40" w:line="276" w:lineRule="auto"/>
            </w:pPr>
            <w:r>
              <w:rPr>
                <w:rFonts w:ascii="Calibri" w:hAnsi="Calibri"/>
                <w:color w:val="1E293B"/>
                <w:sz w:val="19"/>
              </w:rPr>
              <w:t>Autonomous pre-flight sweeps, retry loops, HITL physician approval loops.</w:t>
            </w:r>
          </w:p>
        </w:tc>
        <w:tc>
          <w:tcPr>
            <w:tcW w:type="dxa" w:w="2448"/>
            <w:shd w:fill="F8FAFC"/>
            <w:tcMar>
              <w:top w:w="100" w:type="dxa"/>
              <w:bottom w:w="100" w:type="dxa"/>
              <w:left w:w="140" w:type="dxa"/>
              <w:right w:w="140" w:type="dxa"/>
            </w:tcMar>
          </w:tcPr>
          <w:p>
            <w:pPr>
              <w:spacing w:before="40" w:after="40" w:line="276" w:lineRule="auto"/>
            </w:pPr>
            <w:r>
              <w:rPr>
                <w:rFonts w:ascii="Calibri" w:hAnsi="Calibri"/>
                <w:color w:val="1E293B"/>
                <w:sz w:val="19"/>
              </w:rPr>
              <w:t>Autonomous 1-click batch sweep over all hospital beds, sequential bill &amp; vitals check, physician edits.</w:t>
            </w:r>
          </w:p>
        </w:tc>
      </w:tr>
    </w:tbl>
    <w:p>
      <w:pPr>
        <w:spacing w:after="160"/>
      </w:pPr>
    </w:p>
    <w:p>
      <w:pPr>
        <w:keepNext/>
        <w:spacing w:before="320" w:after="120"/>
      </w:pPr>
      <w:r>
        <w:rPr>
          <w:rFonts w:ascii="Calibri" w:hAnsi="Calibri"/>
          <w:b/>
          <w:color w:val="0F2C59"/>
          <w:sz w:val="34"/>
        </w:rPr>
        <w:t>2. Individual Paradigm Deep Dives (Theory &amp; Discharge Agent Grounding)</w:t>
      </w:r>
    </w:p>
    <w:p>
      <w:pPr>
        <w:keepNext/>
        <w:spacing w:before="240" w:after="80"/>
      </w:pPr>
      <w:r>
        <w:rPr>
          <w:rFonts w:ascii="Calibri" w:hAnsi="Calibri"/>
          <w:b/>
          <w:color w:val="1E3A8A"/>
          <w:sz w:val="27"/>
        </w:rPr>
        <w:t>2.1 Graph Engineering (Topology, State Transitions &amp; Edge Conditions)</w:t>
      </w:r>
    </w:p>
    <w:p>
      <w:pPr>
        <w:spacing w:before="0" w:after="80" w:line="276" w:lineRule="auto"/>
      </w:pPr>
      <w:r>
        <w:rPr>
          <w:rFonts w:ascii="Calibri" w:hAnsi="Calibri"/>
          <w:color w:val="1F2937"/>
        </w:rPr>
        <w:t>Graph Engineering is the architectural discipline of structuring an agent's execution model as a deterministic, stateful graph (often a Directed Acyclic Graph or Cyclic State Machine) comprising Nodes (computational steps, LLM calls, deterministic evaluators) and Edges (unconditional or conditional transitions based on validation outcomes).</w:t>
      </w:r>
    </w:p>
    <w:p>
      <w:pPr>
        <w:pStyle w:val="ListBullet"/>
        <w:spacing w:before="0" w:after="60" w:line="276" w:lineRule="auto"/>
      </w:pPr>
      <w:r>
        <w:rPr>
          <w:rFonts w:ascii="Calibri" w:hAnsi="Calibri"/>
          <w:b/>
          <w:color w:val="334155"/>
        </w:rPr>
        <w:t xml:space="preserve">Theoretical Purpose: </w:t>
      </w:r>
      <w:r>
        <w:rPr>
          <w:rFonts w:ascii="Calibri" w:hAnsi="Calibri"/>
          <w:color w:val="1F2937"/>
        </w:rPr>
        <w:t>Eliminates unpredictable free-form LLM branching by enforcing rigid state transitions. Every agent state is strongly typed and transitions are governed by predicate logic.</w:t>
      </w:r>
    </w:p>
    <w:p>
      <w:pPr>
        <w:pStyle w:val="ListBullet"/>
        <w:spacing w:before="0" w:after="60" w:line="276" w:lineRule="auto"/>
      </w:pPr>
      <w:r>
        <w:rPr>
          <w:rFonts w:ascii="Calibri" w:hAnsi="Calibri"/>
          <w:b/>
          <w:color w:val="334155"/>
        </w:rPr>
        <w:t xml:space="preserve">State Management: </w:t>
      </w:r>
      <w:r>
        <w:rPr>
          <w:rFonts w:ascii="Calibri" w:hAnsi="Calibri"/>
          <w:color w:val="1F2937"/>
        </w:rPr>
        <w:t>A shared, versioned state dictionary flows between nodes. Each node reads required context and mutates specific fields without polluting global state.</w:t>
      </w:r>
    </w:p>
    <w:p>
      <w:pPr>
        <w:pStyle w:val="ListBullet"/>
        <w:spacing w:before="0" w:after="60" w:line="276" w:lineRule="auto"/>
      </w:pPr>
      <w:r>
        <w:rPr>
          <w:rFonts w:ascii="Calibri" w:hAnsi="Calibri"/>
          <w:b/>
          <w:color w:val="334155"/>
        </w:rPr>
        <w:t xml:space="preserve">Conditional Routing: </w:t>
      </w:r>
      <w:r>
        <w:rPr>
          <w:rFonts w:ascii="Calibri" w:hAnsi="Calibri"/>
          <w:color w:val="1F2937"/>
        </w:rPr>
        <w:t>Edges evaluate predicates (e.g., if is_eligible == True, transition to GenerateDraft; else transition to RouteToHold).</w:t>
      </w:r>
    </w:p>
    <w:p>
      <w:pPr>
        <w:keepNext/>
        <w:spacing w:before="180" w:after="60"/>
      </w:pPr>
      <w:r>
        <w:rPr>
          <w:rFonts w:ascii="Calibri" w:hAnsi="Calibri"/>
          <w:b/>
          <w:color w:val="0E7490"/>
          <w:sz w:val="23"/>
        </w:rPr>
        <w:t>Discharge Summary Agent Implementation of Graph Engineering:</w:t>
      </w:r>
    </w:p>
    <w:p>
      <w:pPr>
        <w:spacing w:before="0" w:after="80" w:line="276" w:lineRule="auto"/>
      </w:pPr>
      <w:r>
        <w:rPr>
          <w:rFonts w:ascii="Calibri" w:hAnsi="Calibri"/>
          <w:color w:val="1F2937"/>
        </w:rPr>
        <w:t>In our codebase (located in backend/agent/discharge_pipeline.py and DischargeAgentPipeline.tsx), the Discharge Summary Agent implements an explicit 5-node directed workflow governed by strict state boundaries:</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 xml:space="preserve">         [NODE 1: Candidate Discovery]</w:t>
              <w:br/>
              <w:t xml:space="preserve">                       │ (Active Admissions from dim_admission_inputs)</w:t>
              <w:br/>
              <w:t xml:space="preserve">                       ▼</w:t>
              <w:br/>
              <w:t xml:space="preserve">         [NODE 2: Clinical Encounter Extraction]</w:t>
              <w:br/>
              <w:t xml:space="preserve">                       │ (Pulls Vitals, Room, Doctor, Diagnoses, Bills)</w:t>
              <w:br/>
              <w:t xml:space="preserve">                       ▼</w:t>
              <w:br/>
              <w:t xml:space="preserve">         [NODE 3: Multi-Pillar Validation Gates]</w:t>
              <w:br/>
              <w:t xml:space="preserve">                 /                       \</w:t>
              <w:br/>
              <w:t xml:space="preserve">    (Gates Pass) /                         \ (Gates Fail)</w:t>
              <w:br/>
              <w:t xml:space="preserve">                ▼                           ▼</w:t>
              <w:br/>
              <w:t xml:space="preserve">     [NODE 4: LLM Generation]     [NODE 3B: Skipped / Hold Route]</w:t>
              <w:br/>
              <w:t xml:space="preserve">                │                   (Flags: Outstanding Bill, Hypoxia, etc.)</w:t>
              <w:br/>
              <w:t xml:space="preserve">                ▼</w:t>
              <w:br/>
              <w:t xml:space="preserve">     [NODE 5: Physician Sign-Off &amp; DB Execution]</w:t>
              <w:br/>
              <w:t xml:space="preserve">                │</w:t>
              <w:br/>
              <w:t xml:space="preserve">                ▼</w:t>
              <w:br/>
              <w:t xml:space="preserve">     [PERSISTENCE: dim_generated_discharge_summaries + Bed Released]</w:t>
            </w:r>
          </w:p>
        </w:tc>
      </w:tr>
    </w:tbl>
    <w:p>
      <w:pPr>
        <w:spacing w:before="20" w:after="60"/>
      </w:pPr>
    </w:p>
    <w:p>
      <w:pPr>
        <w:spacing w:before="0" w:after="80" w:line="276" w:lineRule="auto"/>
      </w:pPr>
      <w:r>
        <w:rPr>
          <w:rFonts w:ascii="Calibri" w:hAnsi="Calibri"/>
          <w:color w:val="1F2937"/>
        </w:rPr>
        <w:t>In code, this graph structure is verified through the explicit methods of DischargeAgentPipeline:</w:t>
        <w:br/>
        <w:t>1. get_eligible_candidates(): Discovers candidates who are currently admitted and not yet signed off.</w:t>
        <w:br/>
        <w:t>2. extract_clinical_data(patient_id): Normalizes encounters, temperatures (°C to °F), blood pressures, and bed assignments.</w:t>
        <w:br/>
        <w:t>3. evaluate_validation_gates(extracted_data): Evaluates 3 deterministic and LLM-driven gates. If all_passed is False, graph traversal halts for that patient.</w:t>
        <w:br/>
        <w:t>4. generate_llm_summary(): Ingests clinical protocol and generates the structured draft.</w:t>
        <w:br/>
        <w:t>5. physician_sign_off_and_discharge(): Executes atomic side-effects across 3 database tables.</w:t>
      </w:r>
    </w:p>
    <w:p>
      <w:pPr>
        <w:keepNext/>
        <w:spacing w:before="240" w:after="80"/>
      </w:pPr>
      <w:r>
        <w:rPr>
          <w:rFonts w:ascii="Calibri" w:hAnsi="Calibri"/>
          <w:b/>
          <w:color w:val="1E3A8A"/>
          <w:sz w:val="27"/>
        </w:rPr>
        <w:t>2.2 Harness Engineering (Safety Rails, Runtime Execution &amp; Isolation)</w:t>
      </w:r>
    </w:p>
    <w:p>
      <w:pPr>
        <w:spacing w:before="0" w:after="80" w:line="276" w:lineRule="auto"/>
      </w:pPr>
      <w:r>
        <w:rPr>
          <w:rFonts w:ascii="Calibri" w:hAnsi="Calibri"/>
          <w:color w:val="1F2937"/>
        </w:rPr>
        <w:t>Harness Engineering is the engineering discipline that builds the operating environment around an LLM. An LLM on its own is a probabilistic token predictor without database access, safety barriers, or execution rollback capabilities. The 'Harness' provides the execution armor, runtime contracts, error handling, telemetry, and transactional boundaries.</w:t>
      </w:r>
    </w:p>
    <w:p>
      <w:pPr>
        <w:pStyle w:val="ListBullet"/>
        <w:spacing w:before="0" w:after="60" w:line="276" w:lineRule="auto"/>
      </w:pPr>
      <w:r>
        <w:rPr>
          <w:rFonts w:ascii="Calibri" w:hAnsi="Calibri"/>
          <w:b/>
          <w:color w:val="334155"/>
        </w:rPr>
        <w:t xml:space="preserve">Safety Hard-Gating: </w:t>
      </w:r>
      <w:r>
        <w:rPr>
          <w:rFonts w:ascii="Calibri" w:hAnsi="Calibri"/>
          <w:color w:val="1F2937"/>
        </w:rPr>
        <w:t>The harness inspects LLM outputs and overrides them if hard clinical boundaries are breached. Even if an LLM outputs 'is_stable': True, the harness enforces physiological safety fences.</w:t>
      </w:r>
    </w:p>
    <w:p>
      <w:pPr>
        <w:pStyle w:val="ListBullet"/>
        <w:spacing w:before="0" w:after="60" w:line="276" w:lineRule="auto"/>
      </w:pPr>
      <w:r>
        <w:rPr>
          <w:rFonts w:ascii="Calibri" w:hAnsi="Calibri"/>
          <w:b/>
          <w:color w:val="334155"/>
        </w:rPr>
        <w:t xml:space="preserve">Transactional Isolation: </w:t>
      </w:r>
      <w:r>
        <w:rPr>
          <w:rFonts w:ascii="Calibri" w:hAnsi="Calibri"/>
          <w:color w:val="1F2937"/>
        </w:rPr>
        <w:t>External side-effects (e.g., updating database records, discharging a patient, releasing a hospital bed) are strictly shielded inside database transactions with rollback support.</w:t>
      </w:r>
    </w:p>
    <w:p>
      <w:pPr>
        <w:pStyle w:val="ListBullet"/>
        <w:spacing w:before="0" w:after="60" w:line="276" w:lineRule="auto"/>
      </w:pPr>
      <w:r>
        <w:rPr>
          <w:rFonts w:ascii="Calibri" w:hAnsi="Calibri"/>
          <w:b/>
          <w:color w:val="334155"/>
        </w:rPr>
        <w:t xml:space="preserve">Human-in-the-Loop Barrier: </w:t>
      </w:r>
      <w:r>
        <w:rPr>
          <w:rFonts w:ascii="Calibri" w:hAnsi="Calibri"/>
          <w:color w:val="1F2937"/>
        </w:rPr>
        <w:t>The harness prevents the LLM from executing autonomous write-operations to medical records without an authenticated physician's cryptographic or session signature.</w:t>
      </w:r>
    </w:p>
    <w:p>
      <w:pPr>
        <w:keepNext/>
        <w:spacing w:before="180" w:after="60"/>
      </w:pPr>
      <w:r>
        <w:rPr>
          <w:rFonts w:ascii="Calibri" w:hAnsi="Calibri"/>
          <w:b/>
          <w:color w:val="0E7490"/>
          <w:sz w:val="23"/>
        </w:rPr>
        <w:t>Discharge Summary Agent Implementation of Harness Engineering:</w:t>
      </w:r>
    </w:p>
    <w:p>
      <w:pPr>
        <w:spacing w:before="0" w:after="80" w:line="276" w:lineRule="auto"/>
      </w:pPr>
      <w:r>
        <w:rPr>
          <w:rFonts w:ascii="Calibri" w:hAnsi="Calibri"/>
          <w:color w:val="1F2937"/>
        </w:rPr>
        <w:t>Our codebase demonstrates three vital harness engineering patterns:</w:t>
      </w:r>
    </w:p>
    <w:p>
      <w:pPr>
        <w:pStyle w:val="ListBullet"/>
        <w:spacing w:before="0" w:after="60" w:line="276" w:lineRule="auto"/>
      </w:pPr>
      <w:r>
        <w:rPr>
          <w:rFonts w:ascii="Calibri" w:hAnsi="Calibri"/>
          <w:b/>
          <w:color w:val="334155"/>
        </w:rPr>
        <w:t xml:space="preserve">1. Deterministic Clinical Safety Override: </w:t>
      </w:r>
      <w:r>
        <w:rPr>
          <w:rFonts w:ascii="Calibri" w:hAnsi="Calibri"/>
          <w:color w:val="1F2937"/>
        </w:rPr>
        <w:t>In evaluate_vitals_stability_with_llm(), the Groq LLM (openai/gpt-oss-20b) evaluates hemodynamic stability. However, the harness maintains deterministic medical overrides:</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 Harness Safety Override (Lines 674-677 in discharge_pipeline.py):</w:t>
              <w:br/>
              <w:t>is_stable_llm = bool(parsed.get('is_stable'))</w:t>
              <w:br/>
              <w:t># Safety hard-gate: if patient has fever (&gt;=100.4F) or hypoxemia (&lt;92%), mark unstable</w:t>
              <w:br/>
              <w:t>final_stable = is_stable_llm and (len(flags) == 0)</w:t>
              <w:br/>
              <w:br/>
              <w:t>if not final_stable and flags:</w:t>
              <w:br/>
              <w:t xml:space="preserve">    assessment = f"LLM (openai/gpt-oss-20b) Flagged: {'; '.join(flags)}. {llm_text}"</w:t>
            </w:r>
          </w:p>
        </w:tc>
      </w:tr>
    </w:tbl>
    <w:p>
      <w:pPr>
        <w:spacing w:before="20" w:after="60"/>
      </w:pPr>
    </w:p>
    <w:p>
      <w:pPr>
        <w:pStyle w:val="ListBullet"/>
        <w:spacing w:before="0" w:after="60" w:line="276" w:lineRule="auto"/>
      </w:pPr>
      <w:r>
        <w:rPr>
          <w:rFonts w:ascii="Calibri" w:hAnsi="Calibri"/>
          <w:b/>
          <w:color w:val="334155"/>
        </w:rPr>
        <w:t xml:space="preserve">2. Atomic Database Rollback Harness: </w:t>
      </w:r>
      <w:r>
        <w:rPr>
          <w:rFonts w:ascii="Calibri" w:hAnsi="Calibri"/>
          <w:color w:val="1F2937"/>
        </w:rPr>
        <w:t>In physician_sign_off_and_discharge(), the harness wraps 4 coordinated table updates inside a single PostgreSQL transaction. If any update fails, conn.rollback() restores previous state without data corruption:</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try:</w:t>
              <w:br/>
              <w:t xml:space="preserve">    cur.execute("INSERT INTO dim_generated_discharge_summaries ...")</w:t>
              <w:br/>
              <w:t xml:space="preserve">    cur.execute("UPDATE admissions SET discharge_status = 'Discharged' ...")</w:t>
              <w:br/>
              <w:t xml:space="preserve">    cur.execute("UPDATE dim_admission_inputs SET discharge_status = 'Discharged' ...")</w:t>
              <w:br/>
              <w:t xml:space="preserve">    cur.execute("UPDATE beds SET status = 'Available' WHERE bed_id = %s ...")</w:t>
              <w:br/>
              <w:t xml:space="preserve">    conn.commit()</w:t>
              <w:br/>
              <w:t>except Exception as e:</w:t>
              <w:br/>
              <w:t xml:space="preserve">    conn.rollback()</w:t>
              <w:br/>
              <w:t xml:space="preserve">    logger.exception('Failed during physician sign-off: %s', e)</w:t>
              <w:br/>
              <w:t xml:space="preserve">    raise e</w:t>
            </w:r>
          </w:p>
        </w:tc>
      </w:tr>
    </w:tbl>
    <w:p>
      <w:pPr>
        <w:spacing w:before="20" w:after="60"/>
      </w:pPr>
    </w:p>
    <w:p>
      <w:pPr>
        <w:pStyle w:val="ListBullet"/>
        <w:spacing w:before="0" w:after="60" w:line="276" w:lineRule="auto"/>
      </w:pPr>
      <w:r>
        <w:rPr>
          <w:rFonts w:ascii="Calibri" w:hAnsi="Calibri"/>
          <w:b/>
          <w:color w:val="334155"/>
        </w:rPr>
        <w:t xml:space="preserve">3. Network Timeout &amp; Mock Fallback Harness: </w:t>
      </w:r>
      <w:r>
        <w:rPr>
          <w:rFonts w:ascii="Calibri" w:hAnsi="Calibri"/>
          <w:color w:val="1F2937"/>
        </w:rPr>
        <w:t>The LLM request to Groq is wrapped with a strict 8-second timeout (timeout=8). If Groq experiences rate limits or network degradation, the harness catches the exception and falls back seamlessly to the deterministic clinical reasoning engine.</w:t>
      </w:r>
    </w:p>
    <w:p>
      <w:pPr>
        <w:keepNext/>
        <w:spacing w:before="240" w:after="80"/>
      </w:pPr>
      <w:r>
        <w:rPr>
          <w:rFonts w:ascii="Calibri" w:hAnsi="Calibri"/>
          <w:b/>
          <w:color w:val="1E3A8A"/>
          <w:sz w:val="27"/>
        </w:rPr>
        <w:t>2.3 Context Engineering (Signal Optimization, Protocol Retrieval &amp; Schema Constraints)</w:t>
      </w:r>
    </w:p>
    <w:p>
      <w:pPr>
        <w:spacing w:before="0" w:after="80" w:line="276" w:lineRule="auto"/>
      </w:pPr>
      <w:r>
        <w:rPr>
          <w:rFonts w:ascii="Calibri" w:hAnsi="Calibri"/>
          <w:color w:val="1F2937"/>
        </w:rPr>
        <w:t>Context Engineering is the practice of methodically designing, curating, compressing, and formatting the exact information placed into the LLM's context window. Instead of dumping raw database dumps or unbounded patient history, Context Engineering synthesizes clean, high-signal, domain-structured context tailored for each specific reasoning task.</w:t>
      </w:r>
    </w:p>
    <w:p>
      <w:pPr>
        <w:pStyle w:val="ListBullet"/>
        <w:spacing w:before="0" w:after="60" w:line="276" w:lineRule="auto"/>
      </w:pPr>
      <w:r>
        <w:rPr>
          <w:rFonts w:ascii="Calibri" w:hAnsi="Calibri"/>
          <w:b/>
          <w:color w:val="334155"/>
        </w:rPr>
        <w:t xml:space="preserve">Noise Elimination: </w:t>
      </w:r>
      <w:r>
        <w:rPr>
          <w:rFonts w:ascii="Calibri" w:hAnsi="Calibri"/>
          <w:color w:val="1F2937"/>
        </w:rPr>
        <w:t>Irrelevant clinical noise (e.g. historical billing timestamps, obsolete nurse comments) is stripped to maximize attention on vital signs, active diagnoses, and medications.</w:t>
      </w:r>
    </w:p>
    <w:p>
      <w:pPr>
        <w:pStyle w:val="ListBullet"/>
        <w:spacing w:before="0" w:after="60" w:line="276" w:lineRule="auto"/>
      </w:pPr>
      <w:r>
        <w:rPr>
          <w:rFonts w:ascii="Calibri" w:hAnsi="Calibri"/>
          <w:b/>
          <w:color w:val="334155"/>
        </w:rPr>
        <w:t xml:space="preserve">Domain Knowledge Grounding: </w:t>
      </w:r>
      <w:r>
        <w:rPr>
          <w:rFonts w:ascii="Calibri" w:hAnsi="Calibri"/>
          <w:color w:val="1F2937"/>
        </w:rPr>
        <w:t>Context is injected with verified medical protocols (CLINICAL_PROTOCOLS) matching the patient's specific primary diagnosis (e.g. STEMI, Acute Cholecystitis, Asthma Exacerbation).</w:t>
      </w:r>
    </w:p>
    <w:p>
      <w:pPr>
        <w:pStyle w:val="ListBullet"/>
        <w:spacing w:before="0" w:after="60" w:line="276" w:lineRule="auto"/>
      </w:pPr>
      <w:r>
        <w:rPr>
          <w:rFonts w:ascii="Calibri" w:hAnsi="Calibri"/>
          <w:b/>
          <w:color w:val="334155"/>
        </w:rPr>
        <w:t xml:space="preserve">Schema Enforcement: </w:t>
      </w:r>
      <w:r>
        <w:rPr>
          <w:rFonts w:ascii="Calibri" w:hAnsi="Calibri"/>
          <w:color w:val="1F2937"/>
        </w:rPr>
        <w:t>The prompt context instructs the model to adhere to rigid JSON output formats, preventing conversational fluff and ensuring machine-readable downstream processing.</w:t>
      </w:r>
    </w:p>
    <w:p>
      <w:pPr>
        <w:keepNext/>
        <w:spacing w:before="180" w:after="60"/>
      </w:pPr>
      <w:r>
        <w:rPr>
          <w:rFonts w:ascii="Calibri" w:hAnsi="Calibri"/>
          <w:b/>
          <w:color w:val="0E7490"/>
          <w:sz w:val="23"/>
        </w:rPr>
        <w:t>Discharge Summary Agent Implementation of Context Engineering:</w:t>
      </w:r>
    </w:p>
    <w:p>
      <w:pPr>
        <w:spacing w:before="0" w:after="80" w:line="276" w:lineRule="auto"/>
      </w:pPr>
      <w:r>
        <w:rPr>
          <w:rFonts w:ascii="Calibri" w:hAnsi="Calibri"/>
          <w:color w:val="1F2937"/>
        </w:rPr>
        <w:t>In services/discharge_generator.py and discharge_pipeline.py, Context Engineering manifests in several key implementations:</w:t>
      </w:r>
    </w:p>
    <w:p>
      <w:pPr>
        <w:pStyle w:val="ListBullet"/>
        <w:spacing w:before="0" w:after="60" w:line="276" w:lineRule="auto"/>
      </w:pPr>
      <w:r>
        <w:rPr>
          <w:rFonts w:ascii="Calibri" w:hAnsi="Calibri"/>
          <w:b/>
          <w:color w:val="334155"/>
        </w:rPr>
        <w:t xml:space="preserve">1. Diagnosis-Protocol Context Injection: </w:t>
      </w:r>
      <w:r>
        <w:rPr>
          <w:rFonts w:ascii="Calibri" w:hAnsi="Calibri"/>
          <w:color w:val="1F2937"/>
        </w:rPr>
        <w:t>Before calling the LLM, the system performs a deterministic protocol lookup across CLINICAL_PROTOCOLS. If a match is found (e.g., 'Acute Myocardial Infarction'), verified evidence-based investigations, inpatient therapies, and discharge medications are added to the prompt context:</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 Context Protocol Matching:</w:t>
              <w:br/>
              <w:t>diag_key = (extracted_data.get('primary_diagnosis') or '').lower()</w:t>
              <w:br/>
              <w:t>protocol = None</w:t>
              <w:br/>
              <w:t>for k, v in CLINICAL_PROTOCOLS.items():</w:t>
              <w:br/>
              <w:t xml:space="preserve">    if k in diag_key or diag_key in k:</w:t>
              <w:br/>
              <w:t xml:space="preserve">        protocol = v</w:t>
              <w:br/>
              <w:t xml:space="preserve">        break</w:t>
            </w:r>
          </w:p>
        </w:tc>
      </w:tr>
    </w:tbl>
    <w:p>
      <w:pPr>
        <w:spacing w:before="20" w:after="60"/>
      </w:pPr>
    </w:p>
    <w:p>
      <w:pPr>
        <w:pStyle w:val="ListBullet"/>
        <w:spacing w:before="0" w:after="60" w:line="276" w:lineRule="auto"/>
      </w:pPr>
      <w:r>
        <w:rPr>
          <w:rFonts w:ascii="Calibri" w:hAnsi="Calibri"/>
          <w:b/>
          <w:color w:val="334155"/>
        </w:rPr>
        <w:t xml:space="preserve">2. Dynamic Unit Normalization: </w:t>
      </w:r>
      <w:r>
        <w:rPr>
          <w:rFonts w:ascii="Calibri" w:hAnsi="Calibri"/>
          <w:color w:val="1F2937"/>
        </w:rPr>
        <w:t>Body temperatures in the Lakehouse stored in Celsius (&lt;50.0°C) are dynamically normalized to Fahrenheit (°F) prior to LLM submission so that hemodynamic thresholds remain uniform:</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if temp &lt; 50.0:</w:t>
              <w:br/>
              <w:t xml:space="preserve">    temp = round((temp * 9 / 5) + 32, 1)</w:t>
            </w:r>
          </w:p>
        </w:tc>
      </w:tr>
    </w:tbl>
    <w:p>
      <w:pPr>
        <w:spacing w:before="20" w:after="60"/>
      </w:pPr>
    </w:p>
    <w:p>
      <w:pPr>
        <w:pStyle w:val="ListBullet"/>
        <w:spacing w:before="0" w:after="60" w:line="276" w:lineRule="auto"/>
      </w:pPr>
      <w:r>
        <w:rPr>
          <w:rFonts w:ascii="Calibri" w:hAnsi="Calibri"/>
          <w:b/>
          <w:color w:val="334155"/>
        </w:rPr>
        <w:t xml:space="preserve">3. JSON Schema Prompt Conditioning: </w:t>
      </w:r>
      <w:r>
        <w:rPr>
          <w:rFonts w:ascii="Calibri" w:hAnsi="Calibri"/>
          <w:color w:val="1F2937"/>
        </w:rPr>
        <w:t>For the Groq vital signs evaluation, Context Engineering structures the user prompt with exact clinical vignettes and passes response_format={'type': 'json_object'}:</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groq_payload = {</w:t>
              <w:br/>
              <w:t xml:space="preserve">    'model': 'openai/gpt-oss-20b',</w:t>
              <w:br/>
              <w:t xml:space="preserve">    'messages': [</w:t>
              <w:br/>
              <w:t xml:space="preserve">        {'role': 'system', 'content': 'You are an expert Chief Medical Officer... Return JSON with keys: is_stable, assessment, reason.'},</w:t>
              <w:br/>
              <w:t xml:space="preserve">        {'role': 'user', 'content': f'Patient: {p_name} ({age}-year-old {gender}). Primary Diagnosis: {p_diag}. Vitals: Temp {temp_f}F, HR {hr} bpm, BP {sbp}/{dbp} mmHg, SpO2 {spo2}%.'}</w:t>
              <w:br/>
              <w:t xml:space="preserve">    ],</w:t>
              <w:br/>
              <w:t xml:space="preserve">    'response_format': {'type': 'json_object'},</w:t>
              <w:br/>
              <w:t xml:space="preserve">    'temperature': 0.1</w:t>
              <w:br/>
              <w:t>}</w:t>
            </w:r>
          </w:p>
        </w:tc>
      </w:tr>
    </w:tbl>
    <w:p>
      <w:pPr>
        <w:spacing w:before="20" w:after="60"/>
      </w:pPr>
    </w:p>
    <w:p>
      <w:pPr>
        <w:keepNext/>
        <w:spacing w:before="240" w:after="80"/>
      </w:pPr>
      <w:r>
        <w:rPr>
          <w:rFonts w:ascii="Calibri" w:hAnsi="Calibri"/>
          <w:b/>
          <w:color w:val="1E3A8A"/>
          <w:sz w:val="27"/>
        </w:rPr>
        <w:t>2.4 Loop Engineering (Autonomous Sweeps, Sequential Gating &amp; HITL Cycles)</w:t>
      </w:r>
    </w:p>
    <w:p>
      <w:pPr>
        <w:spacing w:before="0" w:after="80" w:line="276" w:lineRule="auto"/>
      </w:pPr>
      <w:r>
        <w:rPr>
          <w:rFonts w:ascii="Calibri" w:hAnsi="Calibri"/>
          <w:color w:val="1F2937"/>
        </w:rPr>
        <w:t>Loop Engineering is the systematic design of iterative feedback mechanisms, recursive evaluation cycles, batch sweep processes, and human-in-the-loop (HITL) refinement workflows. It defines how an agent continuously monitors its operational environment, evaluates multiple entities in sequence, inspects output quality, and incorporates feedback.</w:t>
      </w:r>
    </w:p>
    <w:p>
      <w:pPr>
        <w:pStyle w:val="ListBullet"/>
        <w:spacing w:before="0" w:after="60" w:line="276" w:lineRule="auto"/>
      </w:pPr>
      <w:r>
        <w:rPr>
          <w:rFonts w:ascii="Calibri" w:hAnsi="Calibri"/>
          <w:b/>
          <w:color w:val="334155"/>
        </w:rPr>
        <w:t xml:space="preserve">Autonomous Batch Sweeps: </w:t>
      </w:r>
      <w:r>
        <w:rPr>
          <w:rFonts w:ascii="Calibri" w:hAnsi="Calibri"/>
          <w:color w:val="1F2937"/>
        </w:rPr>
        <w:t>The agent executes periodic or on-demand loops over all entities (all active hospital beds) to identify actionable states without requiring manual human initiation per patient.</w:t>
      </w:r>
    </w:p>
    <w:p>
      <w:pPr>
        <w:pStyle w:val="ListBullet"/>
        <w:spacing w:before="0" w:after="60" w:line="276" w:lineRule="auto"/>
      </w:pPr>
      <w:r>
        <w:rPr>
          <w:rFonts w:ascii="Calibri" w:hAnsi="Calibri"/>
          <w:b/>
          <w:color w:val="334155"/>
        </w:rPr>
        <w:t xml:space="preserve">Sequential Gate Loops: </w:t>
      </w:r>
      <w:r>
        <w:rPr>
          <w:rFonts w:ascii="Calibri" w:hAnsi="Calibri"/>
          <w:color w:val="1F2937"/>
        </w:rPr>
        <w:t>Conditions are evaluated in strict priority order. If Step 1 (Financial Clearance) fails, expensive LLM calls in Step 2 (Vitals Evaluation) are skipped to conserve computational cost and prevent pipeline congestion.</w:t>
      </w:r>
    </w:p>
    <w:p>
      <w:pPr>
        <w:pStyle w:val="ListBullet"/>
        <w:spacing w:before="0" w:after="60" w:line="276" w:lineRule="auto"/>
      </w:pPr>
      <w:r>
        <w:rPr>
          <w:rFonts w:ascii="Calibri" w:hAnsi="Calibri"/>
          <w:b/>
          <w:color w:val="334155"/>
        </w:rPr>
        <w:t xml:space="preserve">Human-in-the-Loop (HITL) Review Loop: </w:t>
      </w:r>
      <w:r>
        <w:rPr>
          <w:rFonts w:ascii="Calibri" w:hAnsi="Calibri"/>
          <w:color w:val="1F2937"/>
        </w:rPr>
        <w:t>Generated drafts enter an interactive physician review loop where clinicians can edit dosages, alter follow-up recommendations, or approve with clinical sign-off notes.</w:t>
      </w:r>
    </w:p>
    <w:p>
      <w:pPr>
        <w:keepNext/>
        <w:spacing w:before="180" w:after="60"/>
      </w:pPr>
      <w:r>
        <w:rPr>
          <w:rFonts w:ascii="Calibri" w:hAnsi="Calibri"/>
          <w:b/>
          <w:color w:val="0E7490"/>
          <w:sz w:val="23"/>
        </w:rPr>
        <w:t>Discharge Summary Agent Implementation of Loop Engineering:</w:t>
      </w:r>
    </w:p>
    <w:p>
      <w:pPr>
        <w:pStyle w:val="ListBullet"/>
        <w:spacing w:before="0" w:after="60" w:line="276" w:lineRule="auto"/>
      </w:pPr>
      <w:r>
        <w:rPr>
          <w:rFonts w:ascii="Calibri" w:hAnsi="Calibri"/>
          <w:b/>
          <w:color w:val="334155"/>
        </w:rPr>
        <w:t xml:space="preserve">1. 1-Click Autonomous Batch Evaluation Loop: </w:t>
      </w:r>
      <w:r>
        <w:rPr>
          <w:rFonts w:ascii="Calibri" w:hAnsi="Calibri"/>
          <w:color w:val="1F2937"/>
        </w:rPr>
        <w:t>In evaluate_all_patients_eligibility() and run_autonomous_batch(), the agent executes an exhaustive loop across all admitted patients in dim_admission_inputs:</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 Autonomous Batch Loop Pattern:</w:t>
              <w:br/>
              <w:t>for r in rows:</w:t>
              <w:br/>
              <w:t xml:space="preserve">    # Step 1: Administrative Gate Check (Bill clearance, outstanding balance &lt;= 0)</w:t>
              <w:br/>
              <w:t xml:space="preserve">    # Step 2: Clinical Documentation Gate Check (Valid primary diagnosis)</w:t>
              <w:br/>
              <w:t xml:space="preserve">    # Step 3: LLM Vital Signs Evaluation (Held if Step 1 or 2 failed)</w:t>
              <w:br/>
              <w:t xml:space="preserve">    if is_eligible:</w:t>
              <w:br/>
              <w:t xml:space="preserve">        eligible_patients.append(patient_card)</w:t>
              <w:br/>
              <w:t xml:space="preserve">    else:</w:t>
              <w:br/>
              <w:t xml:space="preserve">        skipped_patients.append(patient_card)</w:t>
              <w:br/>
              <w:br/>
              <w:t># Automatically processes all eligible candidates dynamically</w:t>
              <w:br/>
              <w:t>if eligible_patients:</w:t>
              <w:br/>
              <w:t xml:space="preserve">    generate_and_persist_discharge_summaries(patient_ids=pids_str)</w:t>
            </w:r>
          </w:p>
        </w:tc>
      </w:tr>
    </w:tbl>
    <w:p>
      <w:pPr>
        <w:spacing w:before="20" w:after="60"/>
      </w:pPr>
    </w:p>
    <w:p>
      <w:pPr>
        <w:pStyle w:val="ListBullet"/>
        <w:spacing w:before="0" w:after="60" w:line="276" w:lineRule="auto"/>
      </w:pPr>
      <w:r>
        <w:rPr>
          <w:rFonts w:ascii="Calibri" w:hAnsi="Calibri"/>
          <w:b/>
          <w:color w:val="334155"/>
        </w:rPr>
        <w:t xml:space="preserve">2. Token-Conserving Sequential Evaluation: </w:t>
      </w:r>
      <w:r>
        <w:rPr>
          <w:rFonts w:ascii="Calibri" w:hAnsi="Calibri"/>
          <w:color w:val="1F2937"/>
        </w:rPr>
        <w:t>Notice the skip_network_llm flag in evaluate_vitals_stability_with_llm():</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skip_network_llm=not (admin_passed and clinical_passed)</w:t>
            </w:r>
          </w:p>
        </w:tc>
      </w:tr>
    </w:tbl>
    <w:p>
      <w:pPr>
        <w:spacing w:before="20" w:after="60"/>
      </w:pPr>
    </w:p>
    <w:p>
      <w:pPr>
        <w:spacing w:before="0" w:after="80" w:line="276" w:lineRule="auto"/>
      </w:pPr>
      <w:r>
        <w:rPr>
          <w:rFonts w:ascii="Calibri" w:hAnsi="Calibri"/>
          <w:color w:val="1F2937"/>
        </w:rPr>
        <w:t>If a patient owes ₹35,000 or has an invalid diagnosis, the loop does not waste an API call to Groq. The vital evaluation is held until prerequisites clear, demonstrating intelligent resource optimization within the loop.</w:t>
      </w:r>
    </w:p>
    <w:p>
      <w:pPr>
        <w:pStyle w:val="ListBullet"/>
        <w:spacing w:before="0" w:after="60" w:line="276" w:lineRule="auto"/>
      </w:pPr>
      <w:r>
        <w:rPr>
          <w:rFonts w:ascii="Calibri" w:hAnsi="Calibri"/>
          <w:b/>
          <w:color w:val="334155"/>
        </w:rPr>
        <w:t xml:space="preserve">3. Physician Sign-off Feedback Loop: </w:t>
      </w:r>
      <w:r>
        <w:rPr>
          <w:rFonts w:ascii="Calibri" w:hAnsi="Calibri"/>
          <w:color w:val="1F2937"/>
        </w:rPr>
        <w:t>In DischargeAgentPipeline.tsx, the doctor inspects the drafted discharge summary in a modal dialog. If medication adjustments are required, the doctor modifies the prescription before clicking 'Sign Off &amp; Discharge'. This closes the loop between AI proposal and physician authorization.</w:t>
      </w:r>
    </w:p>
    <w:p>
      <w:pPr>
        <w:keepNext/>
        <w:spacing w:before="320" w:after="120"/>
      </w:pPr>
      <w:r>
        <w:rPr>
          <w:rFonts w:ascii="Calibri" w:hAnsi="Calibri"/>
          <w:b/>
          <w:color w:val="0F2C59"/>
          <w:sz w:val="34"/>
        </w:rPr>
        <w:t>3. Combined Architecture: How the 4 Paradigms Interlock</w:t>
      </w:r>
    </w:p>
    <w:p>
      <w:pPr>
        <w:spacing w:before="0" w:after="80" w:line="276" w:lineRule="auto"/>
      </w:pPr>
      <w:r>
        <w:rPr>
          <w:rFonts w:ascii="Calibri" w:hAnsi="Calibri"/>
          <w:color w:val="1F2937"/>
        </w:rPr>
        <w:t>The true power of modern agent architecture emerges when Graph, Harness, Context, and Loop Engineering operate as an integrated, symbiotic system. No single discipline is sufficient in isolation:</w:t>
      </w:r>
    </w:p>
    <w:p>
      <w:pPr>
        <w:pStyle w:val="ListBullet"/>
        <w:spacing w:before="0" w:after="60" w:line="276" w:lineRule="auto"/>
      </w:pPr>
      <w:r>
        <w:rPr>
          <w:rFonts w:ascii="Calibri" w:hAnsi="Calibri"/>
          <w:b/>
          <w:color w:val="334155"/>
        </w:rPr>
        <w:t xml:space="preserve">Without Graph Engineering: </w:t>
      </w:r>
      <w:r>
        <w:rPr>
          <w:rFonts w:ascii="Calibri" w:hAnsi="Calibri"/>
          <w:color w:val="1F2937"/>
        </w:rPr>
        <w:t>The system would be an uncoordinated pile of scripts with no predictable state transitions.</w:t>
      </w:r>
    </w:p>
    <w:p>
      <w:pPr>
        <w:pStyle w:val="ListBullet"/>
        <w:spacing w:before="0" w:after="60" w:line="276" w:lineRule="auto"/>
      </w:pPr>
      <w:r>
        <w:rPr>
          <w:rFonts w:ascii="Calibri" w:hAnsi="Calibri"/>
          <w:b/>
          <w:color w:val="334155"/>
        </w:rPr>
        <w:t xml:space="preserve">Without Harness Engineering: </w:t>
      </w:r>
      <w:r>
        <w:rPr>
          <w:rFonts w:ascii="Calibri" w:hAnsi="Calibri"/>
          <w:color w:val="1F2937"/>
        </w:rPr>
        <w:t>The LLM could hallucinate unsafe discharge approvals or leave hospital bed states corrupted upon API errors.</w:t>
      </w:r>
    </w:p>
    <w:p>
      <w:pPr>
        <w:pStyle w:val="ListBullet"/>
        <w:spacing w:before="0" w:after="60" w:line="276" w:lineRule="auto"/>
      </w:pPr>
      <w:r>
        <w:rPr>
          <w:rFonts w:ascii="Calibri" w:hAnsi="Calibri"/>
          <w:b/>
          <w:color w:val="334155"/>
        </w:rPr>
        <w:t xml:space="preserve">Without Context Engineering: </w:t>
      </w:r>
      <w:r>
        <w:rPr>
          <w:rFonts w:ascii="Calibri" w:hAnsi="Calibri"/>
          <w:color w:val="1F2937"/>
        </w:rPr>
        <w:t>The model would receive irrelevant clinical noise or hallucinate fabricated drug protocols.</w:t>
      </w:r>
    </w:p>
    <w:p>
      <w:pPr>
        <w:pStyle w:val="ListBullet"/>
        <w:spacing w:before="0" w:after="60" w:line="276" w:lineRule="auto"/>
      </w:pPr>
      <w:r>
        <w:rPr>
          <w:rFonts w:ascii="Calibri" w:hAnsi="Calibri"/>
          <w:b/>
          <w:color w:val="334155"/>
        </w:rPr>
        <w:t xml:space="preserve">Without Loop Engineering: </w:t>
      </w:r>
      <w:r>
        <w:rPr>
          <w:rFonts w:ascii="Calibri" w:hAnsi="Calibri"/>
          <w:color w:val="1F2937"/>
        </w:rPr>
        <w:t>The system could not run autonomous batch sweeps across the hospital or incorporate doctor corrections.</w:t>
      </w:r>
    </w:p>
    <w:p>
      <w:pPr>
        <w:keepNext/>
        <w:spacing w:before="240" w:after="80"/>
      </w:pPr>
      <w:r>
        <w:rPr>
          <w:rFonts w:ascii="Calibri" w:hAnsi="Calibri"/>
          <w:b/>
          <w:color w:val="1E3A8A"/>
          <w:sz w:val="27"/>
        </w:rPr>
        <w:t>3.1 The Symbiotic Interlock Matrix</w:t>
      </w:r>
    </w:p>
    <w:tbl>
      <w:tblPr>
        <w:tblW w:type="auto" w:w="0"/>
        <w:jc w:val="center"/>
        <w:tblLook w:firstColumn="1" w:firstRow="1" w:lastColumn="0" w:lastRow="0" w:noHBand="0" w:noVBand="1" w:val="04A0"/>
      </w:tblPr>
      <w:tblGrid>
        <w:gridCol w:w="3264"/>
        <w:gridCol w:w="3264"/>
        <w:gridCol w:w="3264"/>
      </w:tblGrid>
      <w:tr>
        <w:tc>
          <w:tcPr>
            <w:tcW w:type="dxa" w:w="2304"/>
            <w:shd w:fill="0E7490"/>
            <w:tcMar>
              <w:top w:w="120" w:type="dxa"/>
              <w:bottom w:w="120" w:type="dxa"/>
              <w:left w:w="140" w:type="dxa"/>
              <w:right w:w="140" w:type="dxa"/>
            </w:tcMar>
          </w:tcPr>
          <w:p>
            <w:pPr>
              <w:spacing w:before="40" w:after="40"/>
            </w:pPr>
            <w:r>
              <w:rPr>
                <w:rFonts w:ascii="Calibri" w:hAnsi="Calibri"/>
                <w:b/>
                <w:color w:val="FFFFFF"/>
                <w:sz w:val="20"/>
              </w:rPr>
              <w:t>Interaction Axis</w:t>
            </w:r>
          </w:p>
        </w:tc>
        <w:tc>
          <w:tcPr>
            <w:tcW w:type="dxa" w:w="3600"/>
            <w:shd w:fill="0E7490"/>
            <w:tcMar>
              <w:top w:w="120" w:type="dxa"/>
              <w:bottom w:w="120" w:type="dxa"/>
              <w:left w:w="140" w:type="dxa"/>
              <w:right w:w="140" w:type="dxa"/>
            </w:tcMar>
          </w:tcPr>
          <w:p>
            <w:pPr>
              <w:spacing w:before="40" w:after="40"/>
            </w:pPr>
            <w:r>
              <w:rPr>
                <w:rFonts w:ascii="Calibri" w:hAnsi="Calibri"/>
                <w:b/>
                <w:color w:val="FFFFFF"/>
                <w:sz w:val="20"/>
              </w:rPr>
              <w:t>How They Connect</w:t>
            </w:r>
          </w:p>
        </w:tc>
        <w:tc>
          <w:tcPr>
            <w:tcW w:type="dxa" w:w="3888"/>
            <w:shd w:fill="0E7490"/>
            <w:tcMar>
              <w:top w:w="120" w:type="dxa"/>
              <w:bottom w:w="120" w:type="dxa"/>
              <w:left w:w="140" w:type="dxa"/>
              <w:right w:w="140" w:type="dxa"/>
            </w:tcMar>
          </w:tcPr>
          <w:p>
            <w:pPr>
              <w:spacing w:before="40" w:after="40"/>
            </w:pPr>
            <w:r>
              <w:rPr>
                <w:rFonts w:ascii="Calibri" w:hAnsi="Calibri"/>
                <w:b/>
                <w:color w:val="FFFFFF"/>
                <w:sz w:val="20"/>
              </w:rPr>
              <w:t>Discharge Summary Agent Manifestation</w:t>
            </w:r>
          </w:p>
        </w:tc>
      </w:tr>
      <w:tr>
        <w:tc>
          <w:tcPr>
            <w:tcW w:type="dxa" w:w="2304"/>
            <w:shd w:fill="FFFFFF"/>
            <w:tcMar>
              <w:top w:w="100" w:type="dxa"/>
              <w:bottom w:w="100" w:type="dxa"/>
              <w:left w:w="140" w:type="dxa"/>
              <w:right w:w="140" w:type="dxa"/>
            </w:tcMar>
          </w:tcPr>
          <w:p>
            <w:pPr>
              <w:spacing w:before="40" w:after="40" w:line="276" w:lineRule="auto"/>
            </w:pPr>
            <w:r>
              <w:rPr>
                <w:rFonts w:ascii="Calibri" w:hAnsi="Calibri"/>
                <w:color w:val="1E293B"/>
                <w:sz w:val="19"/>
              </w:rPr>
              <w:t>Context ↔ Graph</w:t>
            </w:r>
          </w:p>
        </w:tc>
        <w:tc>
          <w:tcPr>
            <w:tcW w:type="dxa" w:w="3600"/>
            <w:shd w:fill="FFFFFF"/>
            <w:tcMar>
              <w:top w:w="100" w:type="dxa"/>
              <w:bottom w:w="100" w:type="dxa"/>
              <w:left w:w="140" w:type="dxa"/>
              <w:right w:w="140" w:type="dxa"/>
            </w:tcMar>
          </w:tcPr>
          <w:p>
            <w:pPr>
              <w:spacing w:before="40" w:after="40" w:line="276" w:lineRule="auto"/>
            </w:pPr>
            <w:r>
              <w:rPr>
                <w:rFonts w:ascii="Calibri" w:hAnsi="Calibri"/>
                <w:color w:val="1E293B"/>
                <w:sz w:val="19"/>
              </w:rPr>
              <w:t>Context Engineering provides the state payload that nodes in the graph evaluate at each step.</w:t>
            </w:r>
          </w:p>
        </w:tc>
        <w:tc>
          <w:tcPr>
            <w:tcW w:type="dxa" w:w="3888"/>
            <w:shd w:fill="FFFFFF"/>
            <w:tcMar>
              <w:top w:w="100" w:type="dxa"/>
              <w:bottom w:w="100" w:type="dxa"/>
              <w:left w:w="140" w:type="dxa"/>
              <w:right w:w="140" w:type="dxa"/>
            </w:tcMar>
          </w:tcPr>
          <w:p>
            <w:pPr>
              <w:spacing w:before="40" w:after="40" w:line="276" w:lineRule="auto"/>
            </w:pPr>
            <w:r>
              <w:rPr>
                <w:rFonts w:ascii="Calibri" w:hAnsi="Calibri"/>
                <w:color w:val="1E293B"/>
                <w:sz w:val="19"/>
              </w:rPr>
              <w:t>dim_admission_inputs data is normalized into extracted_clinical_data and passed along the DAG.</w:t>
            </w:r>
          </w:p>
        </w:tc>
      </w:tr>
      <w:tr>
        <w:tc>
          <w:tcPr>
            <w:tcW w:type="dxa" w:w="2304"/>
            <w:shd w:fill="F8FAFC"/>
            <w:tcMar>
              <w:top w:w="100" w:type="dxa"/>
              <w:bottom w:w="100" w:type="dxa"/>
              <w:left w:w="140" w:type="dxa"/>
              <w:right w:w="140" w:type="dxa"/>
            </w:tcMar>
          </w:tcPr>
          <w:p>
            <w:pPr>
              <w:spacing w:before="40" w:after="40" w:line="276" w:lineRule="auto"/>
            </w:pPr>
            <w:r>
              <w:rPr>
                <w:rFonts w:ascii="Calibri" w:hAnsi="Calibri"/>
                <w:color w:val="1E293B"/>
                <w:sz w:val="19"/>
              </w:rPr>
              <w:t>Harness ↔ Graph</w:t>
            </w:r>
          </w:p>
        </w:tc>
        <w:tc>
          <w:tcPr>
            <w:tcW w:type="dxa" w:w="3600"/>
            <w:shd w:fill="F8FAFC"/>
            <w:tcMar>
              <w:top w:w="100" w:type="dxa"/>
              <w:bottom w:w="100" w:type="dxa"/>
              <w:left w:w="140" w:type="dxa"/>
              <w:right w:w="140" w:type="dxa"/>
            </w:tcMar>
          </w:tcPr>
          <w:p>
            <w:pPr>
              <w:spacing w:before="40" w:after="40" w:line="276" w:lineRule="auto"/>
            </w:pPr>
            <w:r>
              <w:rPr>
                <w:rFonts w:ascii="Calibri" w:hAnsi="Calibri"/>
                <w:color w:val="1E293B"/>
                <w:sz w:val="19"/>
              </w:rPr>
              <w:t>The Harness enforces guardrails on graph transitions and ensures transactional state mutation.</w:t>
            </w:r>
          </w:p>
        </w:tc>
        <w:tc>
          <w:tcPr>
            <w:tcW w:type="dxa" w:w="3888"/>
            <w:shd w:fill="F8FAFC"/>
            <w:tcMar>
              <w:top w:w="100" w:type="dxa"/>
              <w:bottom w:w="100" w:type="dxa"/>
              <w:left w:w="140" w:type="dxa"/>
              <w:right w:w="140" w:type="dxa"/>
            </w:tcMar>
          </w:tcPr>
          <w:p>
            <w:pPr>
              <w:spacing w:before="40" w:after="40" w:line="276" w:lineRule="auto"/>
            </w:pPr>
            <w:r>
              <w:rPr>
                <w:rFonts w:ascii="Calibri" w:hAnsi="Calibri"/>
                <w:color w:val="1E293B"/>
                <w:sz w:val="19"/>
              </w:rPr>
              <w:t>The Physician Sign-Off gate requires authenticated doctor approval before the final state transition executes.</w:t>
            </w:r>
          </w:p>
        </w:tc>
      </w:tr>
      <w:tr>
        <w:tc>
          <w:tcPr>
            <w:tcW w:type="dxa" w:w="2304"/>
            <w:shd w:fill="FFFFFF"/>
            <w:tcMar>
              <w:top w:w="100" w:type="dxa"/>
              <w:bottom w:w="100" w:type="dxa"/>
              <w:left w:w="140" w:type="dxa"/>
              <w:right w:w="140" w:type="dxa"/>
            </w:tcMar>
          </w:tcPr>
          <w:p>
            <w:pPr>
              <w:spacing w:before="40" w:after="40" w:line="276" w:lineRule="auto"/>
            </w:pPr>
            <w:r>
              <w:rPr>
                <w:rFonts w:ascii="Calibri" w:hAnsi="Calibri"/>
                <w:color w:val="1E293B"/>
                <w:sz w:val="19"/>
              </w:rPr>
              <w:t>Loop ↔ Graph</w:t>
            </w:r>
          </w:p>
        </w:tc>
        <w:tc>
          <w:tcPr>
            <w:tcW w:type="dxa" w:w="3600"/>
            <w:shd w:fill="FFFFFF"/>
            <w:tcMar>
              <w:top w:w="100" w:type="dxa"/>
              <w:bottom w:w="100" w:type="dxa"/>
              <w:left w:w="140" w:type="dxa"/>
              <w:right w:w="140" w:type="dxa"/>
            </w:tcMar>
          </w:tcPr>
          <w:p>
            <w:pPr>
              <w:spacing w:before="40" w:after="40" w:line="276" w:lineRule="auto"/>
            </w:pPr>
            <w:r>
              <w:rPr>
                <w:rFonts w:ascii="Calibri" w:hAnsi="Calibri"/>
                <w:color w:val="1E293B"/>
                <w:sz w:val="19"/>
              </w:rPr>
              <w:t>The Loop repeats graph traversal across batches and triggers retry cycles upon soft failures.</w:t>
            </w:r>
          </w:p>
        </w:tc>
        <w:tc>
          <w:tcPr>
            <w:tcW w:type="dxa" w:w="3888"/>
            <w:shd w:fill="FFFFFF"/>
            <w:tcMar>
              <w:top w:w="100" w:type="dxa"/>
              <w:bottom w:w="100" w:type="dxa"/>
              <w:left w:w="140" w:type="dxa"/>
              <w:right w:w="140" w:type="dxa"/>
            </w:tcMar>
          </w:tcPr>
          <w:p>
            <w:pPr>
              <w:spacing w:before="40" w:after="40" w:line="276" w:lineRule="auto"/>
            </w:pPr>
            <w:r>
              <w:rPr>
                <w:rFonts w:ascii="Calibri" w:hAnsi="Calibri"/>
                <w:color w:val="1E293B"/>
                <w:sz w:val="19"/>
              </w:rPr>
              <w:t>run_autonomous_batch() loops the full graph pipeline across every admitted patient in the hospital lakehouse.</w:t>
            </w:r>
          </w:p>
        </w:tc>
      </w:tr>
      <w:tr>
        <w:tc>
          <w:tcPr>
            <w:tcW w:type="dxa" w:w="2304"/>
            <w:shd w:fill="F8FAFC"/>
            <w:tcMar>
              <w:top w:w="100" w:type="dxa"/>
              <w:bottom w:w="100" w:type="dxa"/>
              <w:left w:w="140" w:type="dxa"/>
              <w:right w:w="140" w:type="dxa"/>
            </w:tcMar>
          </w:tcPr>
          <w:p>
            <w:pPr>
              <w:spacing w:before="40" w:after="40" w:line="276" w:lineRule="auto"/>
            </w:pPr>
            <w:r>
              <w:rPr>
                <w:rFonts w:ascii="Calibri" w:hAnsi="Calibri"/>
                <w:color w:val="1E293B"/>
                <w:sz w:val="19"/>
              </w:rPr>
              <w:t>Context ↔ Harness</w:t>
            </w:r>
          </w:p>
        </w:tc>
        <w:tc>
          <w:tcPr>
            <w:tcW w:type="dxa" w:w="3600"/>
            <w:shd w:fill="F8FAFC"/>
            <w:tcMar>
              <w:top w:w="100" w:type="dxa"/>
              <w:bottom w:w="100" w:type="dxa"/>
              <w:left w:w="140" w:type="dxa"/>
              <w:right w:w="140" w:type="dxa"/>
            </w:tcMar>
          </w:tcPr>
          <w:p>
            <w:pPr>
              <w:spacing w:before="40" w:after="40" w:line="276" w:lineRule="auto"/>
            </w:pPr>
            <w:r>
              <w:rPr>
                <w:rFonts w:ascii="Calibri" w:hAnsi="Calibri"/>
                <w:color w:val="1E293B"/>
                <w:sz w:val="19"/>
              </w:rPr>
              <w:t>The Harness validates and sanitizes context inputs and constrains model outputs via schemas.</w:t>
            </w:r>
          </w:p>
        </w:tc>
        <w:tc>
          <w:tcPr>
            <w:tcW w:type="dxa" w:w="3888"/>
            <w:shd w:fill="F8FAFC"/>
            <w:tcMar>
              <w:top w:w="100" w:type="dxa"/>
              <w:bottom w:w="100" w:type="dxa"/>
              <w:left w:w="140" w:type="dxa"/>
              <w:right w:w="140" w:type="dxa"/>
            </w:tcMar>
          </w:tcPr>
          <w:p>
            <w:pPr>
              <w:spacing w:before="40" w:after="40" w:line="276" w:lineRule="auto"/>
            </w:pPr>
            <w:r>
              <w:rPr>
                <w:rFonts w:ascii="Calibri" w:hAnsi="Calibri"/>
                <w:color w:val="1E293B"/>
                <w:sz w:val="19"/>
              </w:rPr>
              <w:t>Temperature conversion (°C to °F) prevents false alerts; Groq response_format={'type':'json_object'} prevents output corruption.</w:t>
            </w:r>
          </w:p>
        </w:tc>
      </w:tr>
    </w:tbl>
    <w:p>
      <w:pPr>
        <w:spacing w:after="160"/>
      </w:pPr>
    </w:p>
    <w:p>
      <w:pPr>
        <w:keepNext/>
        <w:spacing w:before="240" w:after="80"/>
      </w:pPr>
      <w:r>
        <w:rPr>
          <w:rFonts w:ascii="Calibri" w:hAnsi="Calibri"/>
          <w:b/>
          <w:color w:val="1E3A8A"/>
          <w:sz w:val="27"/>
        </w:rPr>
        <w:t>3.2 End-to-End Unified Execution Trace</w:t>
      </w:r>
    </w:p>
    <w:p>
      <w:pPr>
        <w:spacing w:before="0" w:after="80" w:line="276" w:lineRule="auto"/>
      </w:pPr>
      <w:r>
        <w:rPr>
          <w:rFonts w:ascii="Calibri" w:hAnsi="Calibri"/>
          <w:color w:val="1F2937"/>
        </w:rPr>
        <w:t>The following trace illustrates the chronological synergy of all four engineering paradigms when an autonomous batch is executed in the hospital platform:</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40" w:type="dxa"/>
              <w:right w:w="140" w:type="dxa"/>
            </w:tcMar>
            <w:tcBorders>
              <w:left w:val="single" w:sz="16" w:space="0" w:color="94A3B8"/>
              <w:top w:val="none"/>
              <w:right w:val="none"/>
              <w:bottom w:val="none"/>
            </w:tcBorders>
          </w:tcPr>
          <w:p>
            <w:pPr>
              <w:spacing w:before="40" w:after="40" w:line="252" w:lineRule="auto"/>
            </w:pPr>
            <w:r>
              <w:rPr>
                <w:rFonts w:ascii="Consolas" w:hAnsi="Consolas"/>
                <w:color w:val="0F172A"/>
                <w:sz w:val="17"/>
              </w:rPr>
              <w:t>[1. LOOP TRIGGER]</w:t>
              <w:br/>
              <w:t xml:space="preserve">  └── Loop Engineering initiates run_autonomous_batch() across all 50+ hospital beds.</w:t>
              <w:br/>
              <w:br/>
              <w:t>[2. CONTEXT EXTRACTION &amp; HARNESS CONNECTION]</w:t>
              <w:br/>
              <w:t xml:space="preserve">  └── Harness Engineering connects to PostgreSQL Lakehouse via DatabricksConnector.</w:t>
              <w:br/>
              <w:t xml:space="preserve">  └── Context Engineering joins admissions, beds, vitals, billing, and normalizes temperatures.</w:t>
              <w:br/>
              <w:br/>
              <w:t>[3. GRAPH TRAVERSAL &amp; SEQUENTIAL GATING]</w:t>
              <w:br/>
              <w:t xml:space="preserve">  └── Graph Node 1 (Candidate Evaluation): Evaluates Step 1 Bill Clearance.</w:t>
              <w:br/>
              <w:t xml:space="preserve">      └── If Bill Cleared: Graph routes to Step 2 Vitals Gate.</w:t>
              <w:br/>
              <w:t xml:space="preserve">      └── If Bill Pending: Loop holds Groq LLM call; Graph routes patient to Skipped tab with exact balance.</w:t>
              <w:br/>
              <w:br/>
              <w:t>[4. CONTEXT-OPTIMIZED LLM INFERENCE]</w:t>
              <w:br/>
              <w:t xml:space="preserve">  └── Context Engineering formats concise clinical vignette (diagnosis, age, vital parameters).</w:t>
              <w:br/>
              <w:t xml:space="preserve">  └── Harness calls Groq API (openai/gpt-oss-20b) with 8-second timeout guard.</w:t>
              <w:br/>
              <w:t xml:space="preserve">  └── Harness Safety Fences override LLM if fever (&gt;=100.4°F) or hypoxemia (&lt;92%) is detected.</w:t>
              <w:br/>
              <w:br/>
              <w:t>[5. PROTOCOL-DRIVEN SUMMARY SYNTHESIS]</w:t>
              <w:br/>
              <w:t xml:space="preserve">  └── Context Engineering matches primary diagnosis against CLINICAL_PROTOCOLS (AMI, Cholecystitis, etc.).</w:t>
              <w:br/>
              <w:t xml:space="preserve">  └── Graph Node 4 synthesizes comprehensive hospital-grade discharge summary draft.</w:t>
              <w:br/>
              <w:br/>
              <w:t>[6. HUMAN-IN-THE-LOOP (HITL) CLOSURE &amp; TRANSACTIONAL PERSISTENCE]</w:t>
              <w:br/>
              <w:t xml:space="preserve">  └── Loop presents draft in UI for Attending Physician review.</w:t>
              <w:br/>
              <w:t xml:space="preserve">  └── Physician signs off.</w:t>
              <w:br/>
              <w:t xml:space="preserve">  └── Harness executes atomic 4-table transaction (dim_generated_discharge_summaries insert,</w:t>
              <w:br/>
              <w:t xml:space="preserve">      admission discharge update, bed marked 'Available').</w:t>
            </w:r>
          </w:p>
        </w:tc>
      </w:tr>
    </w:tbl>
    <w:p>
      <w:pPr>
        <w:spacing w:before="20" w:after="60"/>
      </w:pPr>
    </w:p>
    <w:p>
      <w:pPr>
        <w:keepNext/>
        <w:spacing w:before="320" w:after="120"/>
      </w:pPr>
      <w:r>
        <w:rPr>
          <w:rFonts w:ascii="Calibri" w:hAnsi="Calibri"/>
          <w:b/>
          <w:color w:val="0F2C59"/>
          <w:sz w:val="34"/>
        </w:rPr>
        <w:t>4. Strategic &amp; Operational Benefits for Meridian Hospital</w:t>
      </w:r>
    </w:p>
    <w:p>
      <w:pPr>
        <w:spacing w:before="0" w:after="80" w:line="276" w:lineRule="auto"/>
      </w:pPr>
      <w:r>
        <w:rPr>
          <w:rFonts w:ascii="Calibri" w:hAnsi="Calibri"/>
          <w:color w:val="1F2937"/>
        </w:rPr>
        <w:t>By grounding the AI agent architecture in Graph, Harness, Context, and Loop Engineering rather than ad-hoc prompting, the hospital achieves substantial measurable operational gains:</w:t>
      </w:r>
    </w:p>
    <w:tbl>
      <w:tblPr>
        <w:tblW w:type="auto" w:w="0"/>
        <w:jc w:val="center"/>
        <w:tblLook w:firstColumn="1" w:firstRow="1" w:lastColumn="0" w:lastRow="0" w:noHBand="0" w:noVBand="1" w:val="04A0"/>
      </w:tblPr>
      <w:tblGrid>
        <w:gridCol w:w="3264"/>
        <w:gridCol w:w="3264"/>
        <w:gridCol w:w="3264"/>
      </w:tblGrid>
      <w:tr>
        <w:tc>
          <w:tcPr>
            <w:tcW w:type="dxa" w:w="2592"/>
            <w:shd w:fill="0F2C59"/>
            <w:tcMar>
              <w:top w:w="120" w:type="dxa"/>
              <w:bottom w:w="120" w:type="dxa"/>
              <w:left w:w="140" w:type="dxa"/>
              <w:right w:w="140" w:type="dxa"/>
            </w:tcMar>
          </w:tcPr>
          <w:p>
            <w:pPr>
              <w:spacing w:before="40" w:after="40"/>
            </w:pPr>
            <w:r>
              <w:rPr>
                <w:rFonts w:ascii="Calibri" w:hAnsi="Calibri"/>
                <w:b/>
                <w:color w:val="FFFFFF"/>
                <w:sz w:val="20"/>
              </w:rPr>
              <w:t>Dimension</w:t>
            </w:r>
          </w:p>
        </w:tc>
        <w:tc>
          <w:tcPr>
            <w:tcW w:type="dxa" w:w="3456"/>
            <w:shd w:fill="0F2C59"/>
            <w:tcMar>
              <w:top w:w="120" w:type="dxa"/>
              <w:bottom w:w="120" w:type="dxa"/>
              <w:left w:w="140" w:type="dxa"/>
              <w:right w:w="140" w:type="dxa"/>
            </w:tcMar>
          </w:tcPr>
          <w:p>
            <w:pPr>
              <w:spacing w:before="40" w:after="40"/>
            </w:pPr>
            <w:r>
              <w:rPr>
                <w:rFonts w:ascii="Calibri" w:hAnsi="Calibri"/>
                <w:b/>
                <w:color w:val="FFFFFF"/>
                <w:sz w:val="20"/>
              </w:rPr>
              <w:t>Traditional Ad-Hoc Prompting</w:t>
            </w:r>
          </w:p>
        </w:tc>
        <w:tc>
          <w:tcPr>
            <w:tcW w:type="dxa" w:w="3744"/>
            <w:shd w:fill="0F2C59"/>
            <w:tcMar>
              <w:top w:w="120" w:type="dxa"/>
              <w:bottom w:w="120" w:type="dxa"/>
              <w:left w:w="140" w:type="dxa"/>
              <w:right w:w="140" w:type="dxa"/>
            </w:tcMar>
          </w:tcPr>
          <w:p>
            <w:pPr>
              <w:spacing w:before="40" w:after="40"/>
            </w:pPr>
            <w:r>
              <w:rPr>
                <w:rFonts w:ascii="Calibri" w:hAnsi="Calibri"/>
                <w:b/>
                <w:color w:val="FFFFFF"/>
                <w:sz w:val="20"/>
              </w:rPr>
              <w:t>Engineered Agent Architecture (Ours)</w:t>
            </w:r>
          </w:p>
        </w:tc>
      </w:tr>
      <w:tr>
        <w:tc>
          <w:tcPr>
            <w:tcW w:type="dxa" w:w="2592"/>
            <w:shd w:fill="FFFFFF"/>
            <w:tcMar>
              <w:top w:w="100" w:type="dxa"/>
              <w:bottom w:w="100" w:type="dxa"/>
              <w:left w:w="140" w:type="dxa"/>
              <w:right w:w="140" w:type="dxa"/>
            </w:tcMar>
          </w:tcPr>
          <w:p>
            <w:pPr>
              <w:spacing w:before="40" w:after="40" w:line="276" w:lineRule="auto"/>
            </w:pPr>
            <w:r>
              <w:rPr>
                <w:rFonts w:ascii="Calibri" w:hAnsi="Calibri"/>
                <w:color w:val="1E293B"/>
                <w:sz w:val="19"/>
              </w:rPr>
              <w:t>Clinical Safety &amp; Reliability</w:t>
            </w:r>
          </w:p>
        </w:tc>
        <w:tc>
          <w:tcPr>
            <w:tcW w:type="dxa" w:w="3456"/>
            <w:shd w:fill="FFFFFF"/>
            <w:tcMar>
              <w:top w:w="100" w:type="dxa"/>
              <w:bottom w:w="100" w:type="dxa"/>
              <w:left w:w="140" w:type="dxa"/>
              <w:right w:w="140" w:type="dxa"/>
            </w:tcMar>
          </w:tcPr>
          <w:p>
            <w:pPr>
              <w:spacing w:before="40" w:after="40" w:line="276" w:lineRule="auto"/>
            </w:pPr>
            <w:r>
              <w:rPr>
                <w:rFonts w:ascii="Calibri" w:hAnsi="Calibri"/>
                <w:color w:val="1E293B"/>
                <w:sz w:val="19"/>
              </w:rPr>
              <w:t>High hallucination risk; model might discharge unstable febrile or hypoxic patients.</w:t>
            </w:r>
          </w:p>
        </w:tc>
        <w:tc>
          <w:tcPr>
            <w:tcW w:type="dxa" w:w="3744"/>
            <w:shd w:fill="FFFFFF"/>
            <w:tcMar>
              <w:top w:w="100" w:type="dxa"/>
              <w:bottom w:w="100" w:type="dxa"/>
              <w:left w:w="140" w:type="dxa"/>
              <w:right w:w="140" w:type="dxa"/>
            </w:tcMar>
          </w:tcPr>
          <w:p>
            <w:pPr>
              <w:spacing w:before="40" w:after="40" w:line="276" w:lineRule="auto"/>
            </w:pPr>
            <w:r>
              <w:rPr>
                <w:rFonts w:ascii="Calibri" w:hAnsi="Calibri"/>
                <w:color w:val="1E293B"/>
                <w:sz w:val="19"/>
              </w:rPr>
              <w:t>Zero unsafe discharges; deterministic harness safety fences override LLM hallucinations.</w:t>
            </w:r>
          </w:p>
        </w:tc>
      </w:tr>
      <w:tr>
        <w:tc>
          <w:tcPr>
            <w:tcW w:type="dxa" w:w="2592"/>
            <w:shd w:fill="F8FAFC"/>
            <w:tcMar>
              <w:top w:w="100" w:type="dxa"/>
              <w:bottom w:w="100" w:type="dxa"/>
              <w:left w:w="140" w:type="dxa"/>
              <w:right w:w="140" w:type="dxa"/>
            </w:tcMar>
          </w:tcPr>
          <w:p>
            <w:pPr>
              <w:spacing w:before="40" w:after="40" w:line="276" w:lineRule="auto"/>
            </w:pPr>
            <w:r>
              <w:rPr>
                <w:rFonts w:ascii="Calibri" w:hAnsi="Calibri"/>
                <w:color w:val="1E293B"/>
                <w:sz w:val="19"/>
              </w:rPr>
              <w:t>Financial Leakage Protection</w:t>
            </w:r>
          </w:p>
        </w:tc>
        <w:tc>
          <w:tcPr>
            <w:tcW w:type="dxa" w:w="3456"/>
            <w:shd w:fill="F8FAFC"/>
            <w:tcMar>
              <w:top w:w="100" w:type="dxa"/>
              <w:bottom w:w="100" w:type="dxa"/>
              <w:left w:w="140" w:type="dxa"/>
              <w:right w:w="140" w:type="dxa"/>
            </w:tcMar>
          </w:tcPr>
          <w:p>
            <w:pPr>
              <w:spacing w:before="40" w:after="40" w:line="276" w:lineRule="auto"/>
            </w:pPr>
            <w:r>
              <w:rPr>
                <w:rFonts w:ascii="Calibri" w:hAnsi="Calibri"/>
                <w:color w:val="1E293B"/>
                <w:sz w:val="19"/>
              </w:rPr>
              <w:t>Discharge summaries written before billing settlement leading to revenue loss.</w:t>
            </w:r>
          </w:p>
        </w:tc>
        <w:tc>
          <w:tcPr>
            <w:tcW w:type="dxa" w:w="3744"/>
            <w:shd w:fill="F8FAFC"/>
            <w:tcMar>
              <w:top w:w="100" w:type="dxa"/>
              <w:bottom w:w="100" w:type="dxa"/>
              <w:left w:w="140" w:type="dxa"/>
              <w:right w:w="140" w:type="dxa"/>
            </w:tcMar>
          </w:tcPr>
          <w:p>
            <w:pPr>
              <w:spacing w:before="40" w:after="40" w:line="276" w:lineRule="auto"/>
            </w:pPr>
            <w:r>
              <w:rPr>
                <w:rFonts w:ascii="Calibri" w:hAnsi="Calibri"/>
                <w:color w:val="1E293B"/>
                <w:sz w:val="19"/>
              </w:rPr>
              <w:t>Strict Graph Gate: Bill clearance verified before summary generation and bed release.</w:t>
            </w:r>
          </w:p>
        </w:tc>
      </w:tr>
      <w:tr>
        <w:tc>
          <w:tcPr>
            <w:tcW w:type="dxa" w:w="2592"/>
            <w:shd w:fill="FFFFFF"/>
            <w:tcMar>
              <w:top w:w="100" w:type="dxa"/>
              <w:bottom w:w="100" w:type="dxa"/>
              <w:left w:w="140" w:type="dxa"/>
              <w:right w:w="140" w:type="dxa"/>
            </w:tcMar>
          </w:tcPr>
          <w:p>
            <w:pPr>
              <w:spacing w:before="40" w:after="40" w:line="276" w:lineRule="auto"/>
            </w:pPr>
            <w:r>
              <w:rPr>
                <w:rFonts w:ascii="Calibri" w:hAnsi="Calibri"/>
                <w:color w:val="1E293B"/>
                <w:sz w:val="19"/>
              </w:rPr>
              <w:t>Physician Time Savings</w:t>
            </w:r>
          </w:p>
        </w:tc>
        <w:tc>
          <w:tcPr>
            <w:tcW w:type="dxa" w:w="3456"/>
            <w:shd w:fill="FFFFFF"/>
            <w:tcMar>
              <w:top w:w="100" w:type="dxa"/>
              <w:bottom w:w="100" w:type="dxa"/>
              <w:left w:w="140" w:type="dxa"/>
              <w:right w:w="140" w:type="dxa"/>
            </w:tcMar>
          </w:tcPr>
          <w:p>
            <w:pPr>
              <w:spacing w:before="40" w:after="40" w:line="276" w:lineRule="auto"/>
            </w:pPr>
            <w:r>
              <w:rPr>
                <w:rFonts w:ascii="Calibri" w:hAnsi="Calibri"/>
                <w:color w:val="1E293B"/>
                <w:sz w:val="19"/>
              </w:rPr>
              <w:t>Doctors manually draft discharge summaries from scratch (taking 45-60 min/patient).</w:t>
            </w:r>
          </w:p>
        </w:tc>
        <w:tc>
          <w:tcPr>
            <w:tcW w:type="dxa" w:w="3744"/>
            <w:shd w:fill="FFFFFF"/>
            <w:tcMar>
              <w:top w:w="100" w:type="dxa"/>
              <w:bottom w:w="100" w:type="dxa"/>
              <w:left w:w="140" w:type="dxa"/>
              <w:right w:w="140" w:type="dxa"/>
            </w:tcMar>
          </w:tcPr>
          <w:p>
            <w:pPr>
              <w:spacing w:before="40" w:after="40" w:line="276" w:lineRule="auto"/>
            </w:pPr>
            <w:r>
              <w:rPr>
                <w:rFonts w:ascii="Calibri" w:hAnsi="Calibri"/>
                <w:color w:val="1E293B"/>
                <w:sz w:val="19"/>
              </w:rPr>
              <w:t>Instant pre-drafting based on clinical protocols; doctor reviews in 2-3 minutes (90% reduction).</w:t>
            </w:r>
          </w:p>
        </w:tc>
      </w:tr>
      <w:tr>
        <w:tc>
          <w:tcPr>
            <w:tcW w:type="dxa" w:w="2592"/>
            <w:shd w:fill="F8FAFC"/>
            <w:tcMar>
              <w:top w:w="100" w:type="dxa"/>
              <w:bottom w:w="100" w:type="dxa"/>
              <w:left w:w="140" w:type="dxa"/>
              <w:right w:w="140" w:type="dxa"/>
            </w:tcMar>
          </w:tcPr>
          <w:p>
            <w:pPr>
              <w:spacing w:before="40" w:after="40" w:line="276" w:lineRule="auto"/>
            </w:pPr>
            <w:r>
              <w:rPr>
                <w:rFonts w:ascii="Calibri" w:hAnsi="Calibri"/>
                <w:color w:val="1E293B"/>
                <w:sz w:val="19"/>
              </w:rPr>
              <w:t>Bed Turnover &amp; Revenue</w:t>
            </w:r>
          </w:p>
        </w:tc>
        <w:tc>
          <w:tcPr>
            <w:tcW w:type="dxa" w:w="3456"/>
            <w:shd w:fill="F8FAFC"/>
            <w:tcMar>
              <w:top w:w="100" w:type="dxa"/>
              <w:bottom w:w="100" w:type="dxa"/>
              <w:left w:w="140" w:type="dxa"/>
              <w:right w:w="140" w:type="dxa"/>
            </w:tcMar>
          </w:tcPr>
          <w:p>
            <w:pPr>
              <w:spacing w:before="40" w:after="40" w:line="276" w:lineRule="auto"/>
            </w:pPr>
            <w:r>
              <w:rPr>
                <w:rFonts w:ascii="Calibri" w:hAnsi="Calibri"/>
                <w:color w:val="1E293B"/>
                <w:sz w:val="19"/>
              </w:rPr>
              <w:t>Discharge delays leave beds blocked for hours after medical readiness.</w:t>
            </w:r>
          </w:p>
        </w:tc>
        <w:tc>
          <w:tcPr>
            <w:tcW w:type="dxa" w:w="3744"/>
            <w:shd w:fill="F8FAFC"/>
            <w:tcMar>
              <w:top w:w="100" w:type="dxa"/>
              <w:bottom w:w="100" w:type="dxa"/>
              <w:left w:w="140" w:type="dxa"/>
              <w:right w:w="140" w:type="dxa"/>
            </w:tcMar>
          </w:tcPr>
          <w:p>
            <w:pPr>
              <w:spacing w:before="40" w:after="40" w:line="276" w:lineRule="auto"/>
            </w:pPr>
            <w:r>
              <w:rPr>
                <w:rFonts w:ascii="Calibri" w:hAnsi="Calibri"/>
                <w:color w:val="1E293B"/>
                <w:sz w:val="19"/>
              </w:rPr>
              <w:t>Instant bed status transition to 'Available' in beds table immediately upon doctor sign-off.</w:t>
            </w:r>
          </w:p>
        </w:tc>
      </w:tr>
    </w:tbl>
    <w:p>
      <w:pPr>
        <w:spacing w:after="160"/>
      </w:pP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180" w:type="dxa"/>
              <w:right w:w="180" w:type="dxa"/>
            </w:tcMar>
            <w:tcBorders>
              <w:left w:val="single" w:sz="24" w:space="0" w:color="0E7490"/>
              <w:top w:val="none"/>
              <w:right w:val="none"/>
              <w:bottom w:val="none"/>
            </w:tcBorders>
          </w:tcPr>
          <w:p>
            <w:pPr>
              <w:spacing w:before="40" w:after="40" w:line="276" w:lineRule="auto"/>
            </w:pPr>
            <w:r>
              <w:rPr>
                <w:rFonts w:ascii="Calibri" w:hAnsi="Calibri"/>
                <w:b/>
                <w:color w:val="0E7490"/>
                <w:sz w:val="22"/>
              </w:rPr>
              <w:t>ARCHITECTURAL VERDICT</w:t>
              <w:br/>
            </w:r>
            <w:r>
              <w:rPr>
                <w:rFonts w:ascii="Calibri" w:hAnsi="Calibri"/>
                <w:i w:val="0"/>
                <w:color w:val="1E293B"/>
                <w:sz w:val="20"/>
              </w:rPr>
              <w:t>Conclusion: The combination of Graph, Harness, Context, and Loop Engineering elevates generative AI from an experimental chatbot to an enterprise-grade medical autonomous system. In the Meridian Hospital platform, this architecture ensures uncompromising clinical safety, strict financial governance, rapid bed turnaround, and seamless doctor empowerment.</w:t>
            </w:r>
          </w:p>
        </w:tc>
      </w:tr>
    </w:tbl>
    <w:p>
      <w:pPr>
        <w:spacing w:before="20" w:after="4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Meridian Hospital Enterprise AI Platform · Case Study: Autonomous Discharge Summary 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Enterprise Agent Architecture · Graph, Harness, Context &amp; Loop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