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DF7"/>
  <w:body>
    <w:p>
      <w:pPr>
        <w:spacing w:after="80"/>
      </w:pPr>
      <w:r>
        <w:rPr>
          <w:rFonts w:ascii="Nimbus Sans" w:hAnsi="Nimbus Sans" w:eastAsia="Nimbus Sans" w:cs="Nimbus Sans"/>
          <w:b w:val="0"/>
          <w:color w:val="A46B52"/>
          <w:sz w:val="16"/>
        </w:rPr>
        <w:t>TORONTO  /  FOUNDER BUSINESS PLAN</w:t>
      </w:r>
    </w:p>
    <w:p>
      <w:pPr>
        <w:pStyle w:val="Title"/>
      </w:pPr>
      <w:r>
        <w:rPr>
          <w:rFonts w:ascii="C059" w:hAnsi="C059" w:eastAsia="C059" w:cs="C059"/>
          <w:b w:val="0"/>
          <w:color w:val="000000"/>
          <w:sz w:val="68"/>
        </w:rPr>
        <w:t>George business plan</w:t>
      </w:r>
    </w:p>
    <w:p>
      <w:pPr>
        <w:pStyle w:val="Heading1"/>
      </w:pPr>
      <w:r>
        <w:rPr>
          <w:sz w:val="17"/>
          <w:rFonts w:ascii="Nimbus Sans" w:hAnsi="Nimbus Sans"/>
          <w:color w:val="000000"/>
        </w:rPr>
        <w:t xml:space="preserve">01   </w:t>
      </w:r>
      <w:r>
        <w:rPr>
          <w:rFonts w:ascii="C059" w:hAnsi="C059" w:eastAsia="C059" w:cs="C059"/>
          <w:b w:val="0"/>
          <w:color w:val="000000"/>
          <w:sz w:val="32"/>
        </w:rPr>
        <w:t>Executive summary</w:t>
      </w:r>
    </w:p>
    <w:p>
      <w:r>
        <w:rPr>
          <w:rFonts w:ascii="Nimbus Sans" w:hAnsi="Nimbus Sans" w:eastAsia="Nimbus Sans" w:cs="Nimbus Sans"/>
          <w:b w:val="0"/>
          <w:color w:val="172033"/>
        </w:rPr>
        <w:t>George is a property manager for homeowners who want their home well cared for and their time back. A subscription brings trusted trades and ongoing coordination into one dependable relationship.</w:t>
      </w:r>
    </w:p>
    <w:p>
      <w:r>
        <w:rPr>
          <w:rFonts w:ascii="Nimbus Sans" w:hAnsi="Nimbus Sans" w:eastAsia="Nimbus Sans" w:cs="Nimbus Sans"/>
          <w:b w:val="0"/>
          <w:color w:val="172033"/>
        </w:rPr>
        <w:t xml:space="preserve">What I’m shooting for: about 200 Toronto members by year five, within a 150–250 range. </w:t>
      </w:r>
      <w:r>
        <w:rPr>
          <w:rFonts w:ascii="Nimbus Sans" w:hAnsi="Nimbus Sans" w:eastAsia="Nimbus Sans" w:cs="Nimbus Sans"/>
          <w:b w:val="0"/>
          <w:color w:val="172033"/>
        </w:rPr>
        <w:t xml:space="preserve">At CAD $299 a month, 200 members means about $730,000 in recurring revenue</w:t>
      </w:r>
      <w:r>
        <w:rPr>
          <w:rFonts w:ascii="Nimbus Sans" w:hAnsi="Nimbus Sans" w:eastAsia="Nimbus Sans" w:cs="Nimbus Sans"/>
          <w:b w:val="0"/>
          <w:color w:val="172033"/>
        </w:rPr>
        <w:t xml:space="preserve"> and roughly $240,000 a year before paying myself. Year three is the first checkpoint: 84 members and about $300,000 in recurring revenue. These are targets, not forecasts; the next 90 days are designed to test them.</w:t>
      </w:r>
      <w:r>
        <w:rPr>
          <w:rFonts w:ascii="Nimbus Sans" w:hAnsi="Nimbus Sans" w:eastAsia="Nimbus Sans" w:cs="Nimbus Sans"/>
          <w:b w:val="0"/>
          <w:color w:val="172033"/>
        </w:rPr>
        <w:t xml:space="preserve"> We will start in Toronto and build a service that another manager can deliver, with AI helping us understand each home and coordinate its care.</w:t>
      </w:r>
    </w:p>
    <w:p>
      <w:pPr>
        <w:pStyle w:val="Heading1"/>
      </w:pPr>
      <w:r>
        <w:rPr>
          <w:sz w:val="17"/>
          <w:rFonts w:ascii="Nimbus Sans" w:hAnsi="Nimbus Sans"/>
          <w:color w:val="000000"/>
        </w:rPr>
        <w:t xml:space="preserve">02   </w:t>
      </w:r>
      <w:r>
        <w:rPr>
          <w:rFonts w:ascii="C059" w:hAnsi="C059" w:eastAsia="C059" w:cs="C059"/>
          <w:b w:val="0"/>
          <w:color w:val="000000"/>
          <w:sz w:val="32"/>
        </w:rPr>
        <w:t>The problem</w:t>
      </w:r>
    </w:p>
    <w:p>
      <w:r>
        <w:rPr>
          <w:rFonts w:ascii="Nimbus Sans" w:hAnsi="Nimbus Sans" w:eastAsia="Nimbus Sans" w:cs="Nimbus Sans"/>
          <w:b/>
          <w:color w:val="172033"/>
          <w:sz w:val="21"/>
        </w:rPr>
        <w:t xml:space="preserve">A home comes with a second job. </w:t>
      </w:r>
      <w:r>
        <w:rPr>
          <w:rFonts w:ascii="Nimbus Sans" w:hAnsi="Nimbus Sans" w:eastAsia="Nimbus Sans" w:cs="Nimbus Sans"/>
          <w:b w:val="0"/>
          <w:color w:val="172033"/>
          <w:sz w:val="21"/>
        </w:rPr>
        <w:t>Finding the HVAC technician, comparing quotes and arranging access all take time. Busy homeowners may happily pay for the work and still end up managing every appointment themselves.</w:t>
      </w:r>
    </w:p>
    <w:p>
      <w:r>
        <w:rPr>
          <w:rFonts w:ascii="Nimbus Sans" w:hAnsi="Nimbus Sans" w:eastAsia="Nimbus Sans" w:cs="Nimbus Sans"/>
          <w:b/>
          <w:color w:val="172033"/>
          <w:sz w:val="21"/>
        </w:rPr>
        <w:t xml:space="preserve">Good trades are worth finding. </w:t>
      </w:r>
      <w:r>
        <w:rPr>
          <w:rFonts w:ascii="Nimbus Sans" w:hAnsi="Nimbus Sans" w:eastAsia="Nimbus Sans" w:cs="Nimbus Sans"/>
          <w:b w:val="0"/>
          <w:color w:val="172033"/>
          <w:sz w:val="21"/>
        </w:rPr>
        <w:t>Quality, reliability and fair pricing matter when someone is working on your home. Finding the right provider repeatedly is a job in itself.</w:t>
      </w:r>
    </w:p>
    <w:p>
      <w:r>
        <w:rPr>
          <w:rFonts w:ascii="Nimbus Sans" w:hAnsi="Nimbus Sans" w:eastAsia="Nimbus Sans" w:cs="Nimbus Sans"/>
          <w:b/>
          <w:color w:val="172033"/>
          <w:sz w:val="21"/>
        </w:rPr>
        <w:t xml:space="preserve">The care of the home needs an owner. </w:t>
      </w:r>
      <w:r>
        <w:rPr>
          <w:rFonts w:ascii="Nimbus Sans" w:hAnsi="Nimbus Sans" w:eastAsia="Nimbus Sans" w:cs="Nimbus Sans"/>
          <w:b w:val="0"/>
          <w:color w:val="172033"/>
          <w:sz w:val="21"/>
        </w:rPr>
        <w:t>Inspection findings, seasonal tasks and vendor histories are scattered. Toronto’s older homes and changing seasons make a coordinated plan useful. We will test that need through paid work.</w:t>
      </w:r>
    </w:p>
    <w:p>
      <w:pPr>
        <w:pStyle w:val="Heading1"/>
      </w:pPr>
      <w:r>
        <w:rPr>
          <w:sz w:val="17"/>
          <w:rFonts w:ascii="Nimbus Sans" w:hAnsi="Nimbus Sans"/>
          <w:color w:val="000000"/>
        </w:rPr>
        <w:t xml:space="preserve">03   </w:t>
      </w:r>
      <w:r>
        <w:rPr>
          <w:rFonts w:ascii="C059" w:hAnsi="C059" w:eastAsia="C059" w:cs="C059"/>
          <w:b w:val="0"/>
          <w:color w:val="000000"/>
          <w:sz w:val="32"/>
        </w:rPr>
        <w:t>The solution</w:t>
      </w:r>
    </w:p>
    <w:p>
      <w:r>
        <w:rPr>
          <w:rFonts w:ascii="Nimbus Sans" w:hAnsi="Nimbus Sans" w:eastAsia="Nimbus Sans" w:cs="Nimbus Sans"/>
          <w:b w:val="0"/>
          <w:color w:val="172033"/>
        </w:rPr>
        <w:t>George knows the home, understands the owner’s priorities and arranges its care. We review an existing inspection or arrange a professional partner inspection, then build a digital inventory of appliances and systems by make and model. AI uses that record, inspection findings and owner reports to help identify likely issues, recommend the right trade and trigger maintenance based on manufacturer guidance. George reviews recommendations and manages approved work.</w:t>
      </w:r>
    </w:p>
    <w:p>
      <w:pPr>
        <w:keepNext/>
        <w:spacing w:after="0" w:line="240" w:lineRule="auto"/>
        <w:jc w:val="center"/>
      </w:pPr>
      <w:r>
        <w:rPr>
          <w:rFonts w:ascii="Nimbus Sans" w:hAnsi="Nimbus Sans" w:eastAsia="Nimbus Sans" w:cs="Nimbus Sans"/>
          <w:b/>
          <w:color w:val="172033"/>
          <w:sz w:val="20"/>
        </w:rPr>
        <w:t>Build the home inventory and set priorities</w:t>
      </w:r>
    </w:p>
    <w:p>
      <w:pPr>
        <w:keepNext/>
        <w:spacing w:after="0" w:line="240" w:lineRule="auto"/>
        <w:jc w:val="center"/>
      </w:pPr>
      <w:r>
        <w:rPr>
          <w:rFonts w:ascii="Nimbus Sans" w:hAnsi="Nimbus Sans" w:eastAsia="Nimbus Sans" w:cs="Nimbus Sans"/>
          <w:b w:val="0"/>
          <w:color w:val="A46B52"/>
          <w:sz w:val="15"/>
        </w:rPr>
        <w:t>↓</w:t>
      </w:r>
    </w:p>
    <w:p>
      <w:pPr>
        <w:keepNext/>
        <w:spacing w:after="0" w:line="240" w:lineRule="auto"/>
        <w:jc w:val="center"/>
      </w:pPr>
      <w:r>
        <w:rPr>
          <w:rFonts w:ascii="Nimbus Sans" w:hAnsi="Nimbus Sans" w:eastAsia="Nimbus Sans" w:cs="Nimbus Sans"/>
          <w:b/>
          <w:color w:val="172033"/>
          <w:sz w:val="20"/>
        </w:rPr>
        <w:t>AI helps identify the need and the right trusted trade</w:t>
      </w:r>
    </w:p>
    <w:p>
      <w:pPr>
        <w:keepNext/>
        <w:spacing w:after="0" w:line="240" w:lineRule="auto"/>
        <w:jc w:val="center"/>
      </w:pPr>
      <w:r>
        <w:rPr>
          <w:rFonts w:ascii="Nimbus Sans" w:hAnsi="Nimbus Sans" w:eastAsia="Nimbus Sans" w:cs="Nimbus Sans"/>
          <w:b w:val="0"/>
          <w:color w:val="A46B52"/>
          <w:sz w:val="15"/>
        </w:rPr>
        <w:t>↓</w:t>
      </w:r>
    </w:p>
    <w:p>
      <w:pPr>
        <w:keepNext/>
        <w:spacing w:after="0" w:line="240" w:lineRule="auto"/>
        <w:jc w:val="center"/>
      </w:pPr>
      <w:r>
        <w:rPr>
          <w:rFonts w:ascii="Nimbus Sans" w:hAnsi="Nimbus Sans" w:eastAsia="Nimbus Sans" w:cs="Nimbus Sans"/>
          <w:b/>
          <w:color w:val="172033"/>
          <w:sz w:val="20"/>
        </w:rPr>
        <w:t>Homeowner approves work and spending</w:t>
      </w:r>
    </w:p>
    <w:p>
      <w:pPr>
        <w:keepNext/>
        <w:spacing w:after="0" w:line="240" w:lineRule="auto"/>
        <w:jc w:val="center"/>
      </w:pPr>
      <w:r>
        <w:rPr>
          <w:rFonts w:ascii="Nimbus Sans" w:hAnsi="Nimbus Sans" w:eastAsia="Nimbus Sans" w:cs="Nimbus Sans"/>
          <w:b w:val="0"/>
          <w:color w:val="A46B52"/>
          <w:sz w:val="15"/>
        </w:rPr>
        <w:t>↓</w:t>
      </w:r>
    </w:p>
    <w:p>
      <w:pPr>
        <w:keepNext/>
        <w:spacing w:after="0" w:line="240" w:lineRule="auto"/>
        <w:jc w:val="center"/>
      </w:pPr>
      <w:r>
        <w:rPr>
          <w:rFonts w:ascii="Nimbus Sans" w:hAnsi="Nimbus Sans" w:eastAsia="Nimbus Sans" w:cs="Nimbus Sans"/>
          <w:b/>
          <w:color w:val="172033"/>
          <w:sz w:val="20"/>
        </w:rPr>
        <w:t>George arranges access and follows through</w:t>
      </w:r>
    </w:p>
    <w:p>
      <w:pPr>
        <w:keepNext/>
        <w:spacing w:after="0" w:line="240" w:lineRule="auto"/>
        <w:jc w:val="center"/>
      </w:pPr>
      <w:r>
        <w:rPr>
          <w:rFonts w:ascii="Nimbus Sans" w:hAnsi="Nimbus Sans" w:eastAsia="Nimbus Sans" w:cs="Nimbus Sans"/>
          <w:b w:val="0"/>
          <w:color w:val="A46B52"/>
          <w:sz w:val="15"/>
        </w:rPr>
        <w:t>↓</w:t>
      </w:r>
    </w:p>
    <w:p>
      <w:pPr>
        <w:keepNext/>
        <w:spacing w:after="0" w:line="240" w:lineRule="auto"/>
        <w:jc w:val="center"/>
      </w:pPr>
      <w:r>
        <w:rPr>
          <w:rFonts w:ascii="Nimbus Sans" w:hAnsi="Nimbus Sans" w:eastAsia="Nimbus Sans" w:cs="Nimbus Sans"/>
          <w:b/>
          <w:color w:val="172033"/>
          <w:sz w:val="20"/>
        </w:rPr>
        <w:t>Record completed work and upcoming care</w:t>
      </w:r>
    </w:p>
    <w:p>
      <w:pPr>
        <w:spacing w:before="80" w:after="160"/>
        <w:jc w:val="center"/>
      </w:pPr>
      <w:r>
        <w:rPr>
          <w:rFonts w:ascii="Nimbus Sans" w:hAnsi="Nimbus Sans" w:eastAsia="Nimbus Sans" w:cs="Nimbus Sans"/>
          <w:b w:val="0"/>
          <w:color w:val="687064"/>
          <w:sz w:val="17"/>
        </w:rPr>
        <w:t>Models and service history inform the next care plan.</w:t>
      </w:r>
    </w:p>
    <w:p>
      <w:r>
        <w:rPr>
          <w:rFonts w:ascii="Nimbus Sans" w:hAnsi="Nimbus Sans" w:eastAsia="Nimbus Sans" w:cs="Nimbus Sans"/>
          <w:b w:val="0"/>
          <w:color w:val="172033"/>
        </w:rPr>
        <w:t>Owners can put agreed recurring jobs on autopilot within a budget. New scope or spending beyond those limits comes back for approval. At launch, homeowners pay providers directly.</w:t>
      </w:r>
    </w:p>
    <w:p>
      <w:r>
        <w:rPr>
          <w:rFonts w:ascii="Nimbus Sans" w:hAnsi="Nimbus Sans" w:eastAsia="Nimbus Sans" w:cs="Nimbus Sans"/>
          <w:b w:val="0"/>
          <w:color w:val="172033"/>
        </w:rPr>
        <w:t xml:space="preserve">Coordination is the membership; included handyman time is what makes it pay for itself. Small jobs, like a sticking door, a dripping tap or a smoke-alarm battery, get done on the next visit without a separate booking. </w:t>
      </w:r>
      <w:r>
        <w:rPr>
          <w:rFonts w:ascii="Nimbus Sans" w:hAnsi="Nimbus Sans" w:eastAsia="Nimbus Sans" w:cs="Nimbus Sans"/>
          <w:b w:val="0"/>
          <w:color w:val="172033"/>
        </w:rPr>
        <w:t xml:space="preserve">Membership includes </w:t>
      </w:r>
      <w:r>
        <w:rPr>
          <w:rFonts w:ascii="Nimbus Sans" w:hAnsi="Nimbus Sans" w:eastAsia="Nimbus Sans" w:cs="Nimbus Sans"/>
          <w:b w:val="0"/>
          <w:color w:val="172033"/>
        </w:rPr>
        <w:t xml:space="preserve">a small handyman allowance</w:t>
      </w:r>
      <w:r>
        <w:rPr>
          <w:rFonts w:ascii="Nimbus Sans" w:hAnsi="Nimbus Sans" w:eastAsia="Nimbus Sans" w:cs="Nimbus Sans"/>
          <w:b w:val="0"/>
          <w:color w:val="172033"/>
        </w:rPr>
        <w:t xml:space="preserve"> and ordinary provider follow-up. Major projects, extensive supervision and sustained disputes require separate scope. </w:t>
      </w:r>
    </w:p>
    <w:p>
      <w:r>
        <w:br w:type="page"/>
      </w:r>
    </w:p>
    <w:p>
      <w:pPr>
        <w:pStyle w:val="Heading1"/>
      </w:pPr>
      <w:r>
        <w:rPr>
          <w:sz w:val="17"/>
          <w:rFonts w:ascii="Nimbus Sans" w:hAnsi="Nimbus Sans"/>
          <w:color w:val="000000"/>
        </w:rPr>
        <w:t xml:space="preserve">04   </w:t>
      </w:r>
      <w:r>
        <w:rPr>
          <w:rFonts w:ascii="C059" w:hAnsi="C059" w:eastAsia="C059" w:cs="C059"/>
          <w:b w:val="0"/>
          <w:color w:val="000000"/>
          <w:sz w:val="32"/>
        </w:rPr>
        <w:t>The customer and initial market</w:t>
      </w:r>
    </w:p>
    <w:p>
      <w:r>
        <w:rPr>
          <w:rFonts w:ascii="Nimbus Sans" w:hAnsi="Nimbus Sans" w:eastAsia="Nimbus Sans" w:cs="Nimbus Sans"/>
          <w:b w:val="0"/>
          <w:color w:val="172033"/>
        </w:rPr>
        <w:t>Our customer cares about the quality of their home and has better uses for their time. They already hire home services and want a dependable person to coordinate them.</w:t>
      </w:r>
    </w:p>
    <w:p>
      <w:r>
        <w:rPr>
          <w:rFonts w:ascii="Nimbus Sans" w:hAnsi="Nimbus Sans" w:eastAsia="Nimbus Sans" w:cs="Nimbus Sans"/>
          <w:b w:val="0"/>
          <w:color w:val="172033"/>
        </w:rPr>
        <w:t xml:space="preserve">The initial recruitment focus is professional households and families in their thirties and forties, earning $350,000 or more, with homes around $2–2.5 million. Candidate neighbourhoods include Leaside, the Beaches, Riverdale and Rosedale. Willingness to delegate matters more than age alone.</w:t>
      </w:r>
      <w:r>
        <w:rPr>
          <w:rFonts w:ascii="Nimbus Sans" w:hAnsi="Nimbus Sans" w:eastAsia="Nimbus Sans" w:cs="Nimbus Sans"/>
          <w:b w:val="0"/>
          <w:color w:val="172033"/>
        </w:rPr>
        <w:t xml:space="preserve"> Recent buyers in these neighbourhoods are the likely first members: they inherit unfamiliar systems, are already hiring trades and have not yet built their own roster.</w:t>
      </w:r>
    </w:p>
    <w:p>
      <w:r>
        <w:rPr>
          <w:rFonts w:ascii="Nimbus Sans" w:hAnsi="Nimbus Sans" w:eastAsia="Nimbus Sans" w:cs="Nimbus Sans"/>
          <w:b w:val="0"/>
          <w:color w:val="172033"/>
        </w:rPr>
        <w:t xml:space="preserve">Valuation data for nine affluent Toronto neighbourhoods shows roughly 9,000–11,000 homes valued at $2–2.5 million. About 60% match our household profile, giving 6,000 eligible homes. We estimate 20% want to hand over their home’s care entirely; 40% prefer to stay in control and 40% already have trades they trust. That leaves 1,200 likely members, with the second 40% a possible upside once George proves its value.</w:t>
      </w:r>
      <w:r>
        <w:rPr>
          <w:rFonts w:ascii="Nimbus Sans" w:hAnsi="Nimbus Sans" w:eastAsia="Nimbus Sans" w:cs="Nimbus Sans"/>
          <w:b w:val="0"/>
          <w:color w:val="172033"/>
        </w:rPr>
        <w:t xml:space="preserve"> Reaching 200 members means winning about one in six of the likely group.</w:t>
      </w:r>
      <w:r>
        <w:rPr>
          <w:rFonts w:ascii="Nimbus Sans" w:hAnsi="Nimbus Sans" w:eastAsia="Nimbus Sans" w:cs="Nimbus Sans"/>
          <w:b w:val="0"/>
          <w:color w:val="172033"/>
        </w:rPr>
        <w:t xml:space="preserve"> Every step of this funnel needs validation. Parents helping their children buy a home are a possible payer segment, with the homeowner’s participation and approval.</w:t>
      </w:r>
    </w:p>
    <w:p>
      <w:pPr>
        <w:pStyle w:val="Heading1"/>
      </w:pPr>
      <w:r>
        <w:rPr>
          <w:sz w:val="17"/>
          <w:rFonts w:ascii="Nimbus Sans" w:hAnsi="Nimbus Sans"/>
          <w:color w:val="000000"/>
        </w:rPr>
        <w:t xml:space="preserve">05   </w:t>
      </w:r>
      <w:r>
        <w:rPr>
          <w:rFonts w:ascii="C059" w:hAnsi="C059" w:eastAsia="C059" w:cs="C059"/>
          <w:b w:val="0"/>
          <w:color w:val="000000"/>
          <w:sz w:val="32"/>
        </w:rPr>
        <w:t>Pricing and economics</w:t>
      </w:r>
    </w:p>
    <w:p>
      <w:r>
        <w:rPr>
          <w:rFonts w:ascii="Nimbus Sans" w:hAnsi="Nimbus Sans" w:eastAsia="Nimbus Sans" w:cs="Nimbus Sans"/>
          <w:b w:val="0"/>
          <w:color w:val="172033"/>
        </w:rPr>
        <w:t xml:space="preserve">We will test $299 a month, or $3,588 annually, within a working range of $2,400–$4,000 a year. Membership pays for management and </w:t>
      </w:r>
      <w:r>
        <w:rPr>
          <w:rFonts w:ascii="Nimbus Sans" w:hAnsi="Nimbus Sans" w:eastAsia="Nimbus Sans" w:cs="Nimbus Sans"/>
          <w:b w:val="0"/>
          <w:color w:val="172033"/>
        </w:rPr>
        <w:t xml:space="preserve">agreed handyman credits</w:t>
      </w:r>
      <w:r>
        <w:rPr>
          <w:rFonts w:ascii="Nimbus Sans" w:hAnsi="Nimbus Sans" w:eastAsia="Nimbus Sans" w:cs="Nimbus Sans"/>
          <w:b w:val="0"/>
          <w:color w:val="172033"/>
        </w:rPr>
        <w:t xml:space="preserve">. Other trade labour and materials are additional.</w:t>
      </w:r>
      <w:r>
        <w:rPr>
          <w:rFonts w:ascii="Nimbus Sans" w:hAnsi="Nimbus Sans" w:eastAsia="Nimbus Sans" w:cs="Nimbus Sans"/>
          <w:b w:val="0"/>
          <w:color w:val="172033"/>
        </w:rPr>
        <w:t xml:space="preserve"> For reference, Casa charges US$199 a month (roughly CAD $275) built around handyman hours, and Park Road Concierge starts at CAD $450 [1][4]. George sits deliberately between a handyman subscription and full concierge.</w:t>
      </w:r>
    </w:p>
    <w:tbl>
      <w:tblPr>
        <w:tblW w:type="auto" w:w="0"/>
        <w:jc w:val="center"/>
        <w:tblLayout w:type="fixed"/>
        <w:tblLook w:firstColumn="1" w:firstRow="1" w:lastColumn="0" w:lastRow="0" w:noHBand="0" w:noVBand="1" w:val="04A0"/>
      </w:tblPr>
      <w:tblGrid>
        <w:gridCol w:w="6134"/>
        <w:gridCol w:w="1814"/>
        <w:gridCol w:w="1814"/>
      </w:tblGrid>
      <w:tr>
        <w:trPr>
          <w:cantSplit/>
          <w:tblHeader/>
        </w:trPr>
        <w:tc>
          <w:tcPr>
            <w:tcW w:type="dxa" w:w="6134"/>
            <w:vAlign w:val="center"/>
            <w:shd w:fill="1E293B"/>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color w:val="FFFFFF"/>
                <w:sz w:val="19"/>
              </w:rPr>
              <w:t>Per home per year at $299 a month</w:t>
            </w:r>
          </w:p>
        </w:tc>
        <w:tc>
          <w:tcPr>
            <w:tcW w:type="dxa" w:w="1814"/>
            <w:vAlign w:val="center"/>
            <w:shd w:fill="1E293B"/>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jc w:val="right"/>
            </w:pPr>
            <w:r>
              <w:rPr>
                <w:rFonts w:ascii="Nimbus Sans" w:hAnsi="Nimbus Sans" w:eastAsia="Nimbus Sans" w:cs="Nimbus Sans"/>
                <w:b/>
                <w:color w:val="FFFFFF"/>
                <w:sz w:val="19"/>
              </w:rPr>
              <w:t>First year</w:t>
            </w:r>
          </w:p>
        </w:tc>
        <w:tc>
          <w:tcPr>
            <w:tcW w:type="dxa" w:w="1814"/>
            <w:vAlign w:val="center"/>
            <w:shd w:fill="1E293B"/>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jc w:val="right"/>
            </w:pPr>
            <w:r>
              <w:rPr>
                <w:rFonts w:ascii="Nimbus Sans" w:hAnsi="Nimbus Sans" w:eastAsia="Nimbus Sans" w:cs="Nimbus Sans"/>
                <w:b/>
                <w:color w:val="FFFFFF"/>
                <w:sz w:val="19"/>
              </w:rPr>
              <w:t>Renewal</w:t>
            </w:r>
          </w:p>
        </w:tc>
      </w:tr>
      <w:tr>
        <w:trPr>
          <w:cantSplit/>
        </w:trPr>
        <w:tc>
          <w:tcPr>
            <w:tcW w:type="dxa" w:w="613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Membership revenue</w:t>
            </w:r>
          </w:p>
        </w:tc>
        <w:tc>
          <w:tcPr>
            <w:tcW w:type="dxa" w:w="181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jc w:val="right"/>
            </w:pPr>
            <w:r>
              <w:rPr>
                <w:rFonts w:ascii="Nimbus Sans" w:hAnsi="Nimbus Sans" w:eastAsia="Nimbus Sans" w:cs="Nimbus Sans"/>
                <w:b w:val="0"/>
                <w:color w:val="172033"/>
                <w:sz w:val="19"/>
              </w:rPr>
              <w:t>$3,588</w:t>
            </w:r>
          </w:p>
        </w:tc>
        <w:tc>
          <w:tcPr>
            <w:tcW w:type="dxa" w:w="181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jc w:val="right"/>
            </w:pPr>
            <w:r>
              <w:rPr>
                <w:rFonts w:ascii="Nimbus Sans" w:hAnsi="Nimbus Sans" w:eastAsia="Nimbus Sans" w:cs="Nimbus Sans"/>
                <w:b w:val="0"/>
                <w:color w:val="172033"/>
                <w:sz w:val="19"/>
              </w:rPr>
              <w:t>$3,588</w:t>
            </w:r>
          </w:p>
        </w:tc>
      </w:tr>
      <w:tr>
        <w:trPr>
          <w:cantSplit/>
        </w:trPr>
        <w:tc>
          <w:tcPr>
            <w:tcW w:type="dxa" w:w="6134"/>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Management hours assumed</w:t>
            </w:r>
          </w:p>
        </w:tc>
        <w:tc>
          <w:tcPr>
            <w:tcW w:type="dxa" w:w="1814"/>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jc w:val="right"/>
            </w:pPr>
            <w:r>
              <w:rPr>
                <w:rFonts w:ascii="Nimbus Sans" w:hAnsi="Nimbus Sans" w:eastAsia="Nimbus Sans" w:cs="Nimbus Sans"/>
                <w:b w:val="0"/>
                <w:color w:val="172033"/>
                <w:sz w:val="19"/>
              </w:rPr>
              <w:t>22</w:t>
            </w:r>
          </w:p>
        </w:tc>
        <w:tc>
          <w:tcPr>
            <w:tcW w:type="dxa" w:w="1814"/>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jc w:val="right"/>
            </w:pPr>
            <w:r>
              <w:rPr>
                <w:rFonts w:ascii="Nimbus Sans" w:hAnsi="Nimbus Sans" w:eastAsia="Nimbus Sans" w:cs="Nimbus Sans"/>
                <w:b w:val="0"/>
                <w:color w:val="172033"/>
                <w:sz w:val="19"/>
              </w:rPr>
              <w:t>12</w:t>
            </w:r>
          </w:p>
        </w:tc>
      </w:tr>
      <w:tr>
        <w:trPr>
          <w:cantSplit/>
        </w:trPr>
        <w:tc>
          <w:tcPr>
            <w:tcW w:type="dxa" w:w="613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Direct costs including management labour</w:t>
            </w:r>
          </w:p>
        </w:tc>
        <w:tc>
          <w:tcPr>
            <w:tcW w:type="dxa" w:w="181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jc w:val="right"/>
            </w:pPr>
            <w:r>
              <w:rPr>
                <w:rFonts w:ascii="Nimbus Sans" w:hAnsi="Nimbus Sans" w:eastAsia="Nimbus Sans" w:cs="Nimbus Sans"/>
                <w:b w:val="0"/>
                <w:color w:val="172033"/>
                <w:sz w:val="19"/>
              </w:rPr>
              <w:t>$2,731</w:t>
            </w:r>
          </w:p>
        </w:tc>
        <w:tc>
          <w:tcPr>
            <w:tcW w:type="dxa" w:w="181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jc w:val="right"/>
            </w:pPr>
            <w:r>
              <w:rPr>
                <w:rFonts w:ascii="Nimbus Sans" w:hAnsi="Nimbus Sans" w:eastAsia="Nimbus Sans" w:cs="Nimbus Sans"/>
                <w:b w:val="0"/>
                <w:color w:val="172033"/>
                <w:sz w:val="19"/>
              </w:rPr>
              <w:t>$1,531</w:t>
            </w:r>
          </w:p>
        </w:tc>
      </w:tr>
      <w:tr>
        <w:trPr>
          <w:cantSplit/>
        </w:trPr>
        <w:tc>
          <w:tcPr>
            <w:tcW w:type="dxa" w:w="6134"/>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Contribution before acquisition and overhead</w:t>
            </w:r>
          </w:p>
        </w:tc>
        <w:tc>
          <w:tcPr>
            <w:tcW w:type="dxa" w:w="1814"/>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jc w:val="right"/>
            </w:pPr>
            <w:r>
              <w:rPr>
                <w:rFonts w:ascii="Nimbus Sans" w:hAnsi="Nimbus Sans" w:eastAsia="Nimbus Sans" w:cs="Nimbus Sans"/>
                <w:b w:val="0"/>
                <w:color w:val="172033"/>
                <w:sz w:val="19"/>
              </w:rPr>
              <w:t>$857 / 24%</w:t>
            </w:r>
          </w:p>
        </w:tc>
        <w:tc>
          <w:tcPr>
            <w:tcW w:type="dxa" w:w="1814"/>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jc w:val="right"/>
            </w:pPr>
            <w:r>
              <w:rPr>
                <w:rFonts w:ascii="Nimbus Sans" w:hAnsi="Nimbus Sans" w:eastAsia="Nimbus Sans" w:cs="Nimbus Sans"/>
                <w:b w:val="0"/>
                <w:color w:val="172033"/>
                <w:sz w:val="19"/>
              </w:rPr>
              <w:t>$2,057 / 57%</w:t>
            </w:r>
          </w:p>
        </w:tc>
      </w:tr>
    </w:tbl>
    <w:p>
      <w:pPr>
        <w:spacing w:before="140"/>
      </w:pPr>
      <w:r>
        <w:rPr>
          <w:rFonts w:ascii="Nimbus Sans" w:hAnsi="Nimbus Sans" w:eastAsia="Nimbus Sans" w:cs="Nimbus Sans"/>
          <w:b w:val="0"/>
          <w:color w:val="172033"/>
        </w:rPr>
        <w:t xml:space="preserve">The baseline values management time at $60 an hour and includes a $600 first-year inspection, </w:t>
      </w:r>
      <w:r>
        <w:rPr>
          <w:rFonts w:ascii="Nimbus Sans" w:hAnsi="Nimbus Sans" w:eastAsia="Nimbus Sans" w:cs="Nimbus Sans"/>
          <w:b w:val="0"/>
          <w:color w:val="172033"/>
        </w:rPr>
        <w:t xml:space="preserve">$450 annual handyman allowance</w:t>
      </w:r>
      <w:r>
        <w:rPr>
          <w:rFonts w:ascii="Nimbus Sans" w:hAnsi="Nimbus Sans" w:eastAsia="Nimbus Sans" w:cs="Nimbus Sans"/>
          <w:b w:val="0"/>
          <w:color w:val="172033"/>
        </w:rPr>
        <w:t xml:space="preserve">, administration and payment fees. Every extra ten hours costs $600. Renewal savings depend on removing inspection and onboarding costs and reducing recurring coordination.</w:t>
      </w:r>
    </w:p>
    <w:p>
      <w:r>
        <w:rPr>
          <w:rFonts w:ascii="Nimbus Sans" w:hAnsi="Nimbus Sans" w:eastAsia="Nimbus Sans" w:cs="Nimbus Sans"/>
          <w:b w:val="0"/>
          <w:color w:val="172033"/>
        </w:rPr>
        <w:t>At the annual price range, 150 members represent $360,000–$600,000 in full-year revenue; 250 represent $600,000–$1 million. The business must fund paid delivery, acquisition and overhead, then leave worthwhile founder earnings and profit.</w:t>
      </w:r>
    </w:p>
    <w:p>
      <w:r>
        <w:rPr>
          <w:rFonts w:ascii="Nimbus Sans" w:hAnsi="Nimbus Sans" w:eastAsia="Nimbus Sans" w:cs="Nimbus Sans"/>
          <w:b/>
          <w:color w:val="172033"/>
        </w:rPr>
        <w:t xml:space="preserve">How the margin grows. </w:t>
      </w:r>
      <w:r>
        <w:rPr>
          <w:rFonts w:ascii="Nimbus Sans" w:hAnsi="Nimbus Sans" w:eastAsia="Nimbus Sans" w:cs="Nimbus Sans"/>
          <w:b w:val="0"/>
          <w:color w:val="172033"/>
        </w:rPr>
        <w:t xml:space="preserve">First-year contribution is thin by design. It improves in two ways. Renewing members move from 24% to 57% contribution as inspection and onboarding costs fall away. And every hour of coordination that better home records and AI remove goes straight to margin: cutting renewal management from 12 to 8 hours adds $240 per home a year, or $48,000 across 200 members.</w:t>
      </w:r>
    </w:p>
    <w:p>
      <w:pPr>
        <w:pStyle w:val="Heading1"/>
      </w:pPr>
      <w:r>
        <w:rPr>
          <w:sz w:val="17"/>
          <w:rFonts w:ascii="Nimbus Sans" w:hAnsi="Nimbus Sans"/>
          <w:color w:val="000000"/>
        </w:rPr>
        <w:t xml:space="preserve">06   </w:t>
      </w:r>
      <w:r>
        <w:rPr>
          <w:rFonts w:ascii="C059" w:hAnsi="C059" w:eastAsia="C059" w:cs="C059"/>
          <w:b w:val="0"/>
          <w:color w:val="000000"/>
          <w:sz w:val="32"/>
        </w:rPr>
        <w:t>Assumptions and risks</w:t>
      </w:r>
    </w:p>
    <w:p>
      <w:pPr>
        <w:pStyle w:val="ListBullet"/>
        <w:spacing w:after="80"/>
      </w:pPr>
      <w:r>
        <w:rPr>
          <w:rFonts w:ascii="Nimbus Sans" w:hAnsi="Nimbus Sans" w:eastAsia="Nimbus Sans" w:cs="Nimbus Sans"/>
          <w:b w:val="0"/>
          <w:color w:val="172033"/>
        </w:rPr>
        <w:t>Paid demand: customers must buy ongoing management and continue using it.</w:t>
      </w:r>
    </w:p>
    <w:p>
      <w:pPr>
        <w:pStyle w:val="ListBullet"/>
        <w:spacing w:after="80"/>
      </w:pPr>
      <w:r>
        <w:rPr>
          <w:rFonts w:ascii="Nimbus Sans" w:hAnsi="Nimbus Sans" w:eastAsia="Nimbus Sans" w:cs="Nimbus Sans"/>
          <w:b w:val="0"/>
          <w:color w:val="172033"/>
        </w:rPr>
        <w:t>Workload: coordination, attendance and callbacks must fit the fee.</w:t>
      </w:r>
    </w:p>
    <w:p>
      <w:pPr>
        <w:pStyle w:val="ListBullet"/>
        <w:spacing w:after="80"/>
      </w:pPr>
      <w:r>
        <w:rPr>
          <w:rFonts w:ascii="Nimbus Sans" w:hAnsi="Nimbus Sans" w:eastAsia="Nimbus Sans" w:cs="Nimbus Sans"/>
          <w:b w:val="0"/>
          <w:color w:val="172033"/>
        </w:rPr>
        <w:t>Trusted supply: providers must be available and deliver consistently.</w:t>
      </w:r>
    </w:p>
    <w:p>
      <w:pPr>
        <w:pStyle w:val="ListBullet"/>
        <w:spacing w:after="80"/>
      </w:pPr>
      <w:r>
        <w:rPr>
          <w:rFonts w:ascii="Nimbus Sans" w:hAnsi="Nimbus Sans" w:eastAsia="Nimbus Sans" w:cs="Nimbus Sans"/>
          <w:b w:val="0"/>
          <w:color w:val="172033"/>
        </w:rPr>
        <w:t>Transferability: customers must accept a trained manager beyond Lucile.</w:t>
      </w:r>
    </w:p>
    <w:p>
      <w:pPr>
        <w:pStyle w:val="ListBullet"/>
        <w:spacing w:after="80"/>
      </w:pPr>
      <w:r>
        <w:rPr>
          <w:rFonts w:ascii="Nimbus Sans" w:hAnsi="Nimbus Sans" w:eastAsia="Nimbus Sans" w:cs="Nimbus Sans"/>
          <w:b w:val="0"/>
          <w:color w:val="172033"/>
        </w:rPr>
        <w:t>Acquisition: new members must arrive at a sustainable cost.</w:t>
      </w:r>
    </w:p>
    <w:p>
      <w:r>
        <w:rPr>
          <w:rFonts w:ascii="Nimbus Sans" w:hAnsi="Nimbus Sans" w:eastAsia="Nimbus Sans" w:cs="Nimbus Sans"/>
          <w:b w:val="0"/>
          <w:color w:val="172033"/>
        </w:rPr>
        <w:t>Included inspections create costs before monthly fees are collected. Payment timing and cancellation terms need to cover that exposure. Autopilot requires clear approval limits and reliable home records.</w:t>
      </w:r>
    </w:p>
    <w:p>
      <w:r>
        <w:br w:type="page"/>
      </w:r>
    </w:p>
    <w:p>
      <w:pPr>
        <w:pStyle w:val="Heading1"/>
      </w:pPr>
      <w:r>
        <w:rPr>
          <w:sz w:val="17"/>
          <w:rFonts w:ascii="Nimbus Sans" w:hAnsi="Nimbus Sans"/>
          <w:color w:val="000000"/>
        </w:rPr>
        <w:t xml:space="preserve">07   </w:t>
      </w:r>
      <w:r>
        <w:rPr>
          <w:rFonts w:ascii="C059" w:hAnsi="C059" w:eastAsia="C059" w:cs="C059"/>
          <w:b w:val="0"/>
          <w:color w:val="000000"/>
          <w:sz w:val="32"/>
        </w:rPr>
        <w:t>Rollout and customer acquisition</w:t>
      </w:r>
    </w:p>
    <w:p>
      <w:r>
        <w:rPr>
          <w:rFonts w:ascii="Nimbus Sans" w:hAnsi="Nimbus Sans" w:eastAsia="Nimbus Sans" w:cs="Nimbus Sans"/>
          <w:b w:val="0"/>
          <w:color w:val="172033"/>
        </w:rPr>
        <w:t>I will manage the first homes personally. That is how we learn which tasks people hand over, where they value judgement and what good delivery costs. A limited free learning cohort will have a defined scope, end date and budget, followed by paid founding members.</w:t>
      </w:r>
    </w:p>
    <w:p>
      <w:r>
        <w:rPr>
          <w:rFonts w:ascii="Nimbus Sans" w:hAnsi="Nimbus Sans" w:eastAsia="Nimbus Sans" w:cs="Nimbus Sans"/>
          <w:b w:val="0"/>
          <w:color w:val="172033"/>
        </w:rPr>
        <w:t>Test a few prices with comparable scope. Track paid uptake, hours per home, contribution and retention. Begin with qualified homeowner friends and referrals, then realtor introductions. Test flyers to recently sold homes and professional workplaces; measure paid conversion and acquisition cost, including my time.</w:t>
      </w:r>
    </w:p>
    <w:p>
      <w:r>
        <w:rPr>
          <w:rFonts w:ascii="Nimbus Sans" w:hAnsi="Nimbus Sans" w:eastAsia="Nimbus Sans" w:cs="Nimbus Sans"/>
          <w:b w:val="0"/>
          <w:color w:val="172033"/>
        </w:rPr>
        <w:t xml:space="preserve">What it takes: reaching 200 members after churn needs about 230 new members over five years. At an assumed one-in-four conversion from qualified conversations, that is roughly 900 conversations, rising to about six a week by year five. Tracking that conversion from the first pilot is the fastest way to replace this assumption with a real number.</w:t>
      </w:r>
    </w:p>
    <w:p>
      <w:r>
        <w:rPr>
          <w:rFonts w:ascii="Nimbus Sans" w:hAnsi="Nimbus Sans" w:eastAsia="Nimbus Sans" w:cs="Nimbus Sans"/>
          <w:b w:val="0"/>
          <w:color w:val="172033"/>
        </w:rPr>
        <w:t xml:space="preserve">Build AI into the workflow from the start: inspection extraction, appliance records, issue triage, trade matching and service briefs.</w:t>
      </w:r>
      <w:r>
        <w:rPr>
          <w:rFonts w:ascii="Nimbus Sans" w:hAnsi="Nimbus Sans" w:eastAsia="Nimbus Sans" w:cs="Nimbus Sans"/>
          <w:b w:val="0"/>
          <w:color w:val="172033"/>
        </w:rPr>
        <w:t xml:space="preserve"> AI stays behind the scenes: members buy a dependable person, not software.</w:t>
      </w:r>
      <w:r>
        <w:rPr>
          <w:rFonts w:ascii="Nimbus Sans" w:hAnsi="Nimbus Sans" w:eastAsia="Nimbus Sans" w:cs="Nimbus Sans"/>
          <w:b w:val="0"/>
          <w:color w:val="172033"/>
        </w:rPr>
        <w:t xml:space="preserve"> Begin with human review; automate repeatable work as accuracy and time savings are proven. Train another manager to use the process before expanding into adjacent neighbourhoods and other markets.</w:t>
      </w:r>
    </w:p>
    <w:p>
      <w:pPr>
        <w:pStyle w:val="Heading1"/>
      </w:pPr>
      <w:r>
        <w:rPr>
          <w:rFonts w:ascii="Nimbus Sans" w:hAnsi="Nimbus Sans"/>
          <w:color w:val="000000"/>
          <w:sz w:val="17"/>
        </w:rPr>
        <w:t xml:space="preserve">08   </w:t>
      </w:r>
      <w:r>
        <w:rPr>
          <w:rFonts w:ascii="C059" w:hAnsi="C059" w:eastAsia="C059" w:cs="C059"/>
          <w:b w:val="0"/>
          <w:color w:val="000000"/>
          <w:sz w:val="32"/>
        </w:rPr>
        <w:t>The next 90 days</w:t>
      </w:r>
    </w:p>
    <w:p>
      <w:r>
        <w:rPr>
          <w:rFonts w:ascii="Nimbus Sans" w:hAnsi="Nimbus Sans" w:eastAsia="Nimbus Sans" w:cs="Nimbus Sans"/>
          <w:b w:val="0"/>
          <w:color w:val="172033"/>
        </w:rPr>
        <w:t xml:space="preserve">Before building more of the service, I want to learn what homeowners actually struggle with and what trades need from a coordinator. The next 90 days are about evidence, not opinion:</w:t>
      </w:r>
    </w:p>
    <w:p>
      <w:pPr>
        <w:pStyle w:val="ListBullet"/>
        <w:spacing w:after="80"/>
      </w:pPr>
      <w:r>
        <w:rPr>
          <w:rFonts w:ascii="Nimbus Sans" w:hAnsi="Nimbus Sans" w:eastAsia="Nimbus Sans" w:cs="Nimbus Sans"/>
          <w:b/>
          <w:color w:val="172033"/>
        </w:rPr>
        <w:t xml:space="preserve">Homeowners: </w:t>
      </w:r>
      <w:r>
        <w:rPr>
          <w:rFonts w:ascii="Nimbus Sans" w:hAnsi="Nimbus Sans" w:eastAsia="Nimbus Sans" w:cs="Nimbus Sans"/>
          <w:b w:val="0"/>
          <w:color w:val="172033"/>
        </w:rPr>
        <w:t xml:space="preserve">25 conversations with owners in the target neighbourhoods, prioritising people who bought in the last two years. What breaks, who they call, what they already pay for and what they would hand over first.</w:t>
      </w:r>
    </w:p>
    <w:p>
      <w:pPr>
        <w:pStyle w:val="ListBullet"/>
        <w:spacing w:after="80"/>
      </w:pPr>
      <w:r>
        <w:rPr>
          <w:rFonts w:ascii="Nimbus Sans" w:hAnsi="Nimbus Sans" w:eastAsia="Nimbus Sans" w:cs="Nimbus Sans"/>
          <w:b/>
          <w:color w:val="172033"/>
        </w:rPr>
        <w:t xml:space="preserve">Trades: </w:t>
      </w:r>
      <w:r>
        <w:rPr>
          <w:rFonts w:ascii="Nimbus Sans" w:hAnsi="Nimbus Sans" w:eastAsia="Nimbus Sans" w:cs="Nimbus Sans"/>
          <w:b w:val="0"/>
          <w:color w:val="172033"/>
        </w:rPr>
        <w:t xml:space="preserve">15 conversations across HVAC, plumbing, electrical, roofing and handyman work. How they win jobs today, what makes a client good to work with, and whether steady, well-prepared jobs from a coordinator are worth priority scheduling.</w:t>
      </w:r>
    </w:p>
    <w:p>
      <w:pPr>
        <w:pStyle w:val="ListBullet"/>
        <w:spacing w:after="80"/>
      </w:pPr>
      <w:r>
        <w:rPr>
          <w:rFonts w:ascii="Nimbus Sans" w:hAnsi="Nimbus Sans" w:eastAsia="Nimbus Sans" w:cs="Nimbus Sans"/>
          <w:b/>
          <w:color w:val="172033"/>
        </w:rPr>
        <w:t xml:space="preserve">Realtors: </w:t>
      </w:r>
      <w:r>
        <w:rPr>
          <w:rFonts w:ascii="Nimbus Sans" w:hAnsi="Nimbus Sans" w:eastAsia="Nimbus Sans" w:cs="Nimbus Sans"/>
          <w:b w:val="0"/>
          <w:color w:val="172033"/>
        </w:rPr>
        <w:t xml:space="preserve">5 conversations with agents selling in the $2–2.5 million range, to test closing-gift and onboarding referrals as a channel.</w:t>
      </w:r>
    </w:p>
    <w:p>
      <w:pPr>
        <w:pStyle w:val="ListBullet"/>
        <w:spacing w:after="80"/>
      </w:pPr>
      <w:r>
        <w:rPr>
          <w:rFonts w:ascii="Nimbus Sans" w:hAnsi="Nimbus Sans" w:eastAsia="Nimbus Sans" w:cs="Nimbus Sans"/>
          <w:b/>
          <w:color w:val="172033"/>
        </w:rPr>
        <w:t xml:space="preserve">Paid pilots: </w:t>
      </w:r>
      <w:r>
        <w:rPr>
          <w:rFonts w:ascii="Nimbus Sans" w:hAnsi="Nimbus Sans" w:eastAsia="Nimbus Sans" w:cs="Nimbus Sans"/>
          <w:b w:val="0"/>
          <w:color w:val="172033"/>
        </w:rPr>
        <w:t xml:space="preserve">3–5 homes on a founding rate with a defined scope, so willingness to pay is tested with money, not interest.</w:t>
      </w:r>
    </w:p>
    <w:p>
      <w:pPr>
        <w:pStyle w:val="ListBullet"/>
        <w:spacing w:after="80"/>
      </w:pPr>
      <w:r>
        <w:rPr>
          <w:rFonts w:ascii="Nimbus Sans" w:hAnsi="Nimbus Sans" w:eastAsia="Nimbus Sans" w:cs="Nimbus Sans"/>
          <w:b/>
          <w:color w:val="172033"/>
        </w:rPr>
        <w:t xml:space="preserve">Hours: </w:t>
      </w:r>
      <w:r>
        <w:rPr>
          <w:rFonts w:ascii="Nimbus Sans" w:hAnsi="Nimbus Sans" w:eastAsia="Nimbus Sans" w:cs="Nimbus Sans"/>
          <w:b w:val="0"/>
          <w:color w:val="172033"/>
        </w:rPr>
        <w:t xml:space="preserve">every task logged for every pilot home, so the 22-hour first-year assumption is replaced with real data.</w:t>
      </w:r>
    </w:p>
    <w:p>
      <w:r>
        <w:rPr>
          <w:rFonts w:ascii="Nimbus Sans" w:hAnsi="Nimbus Sans" w:eastAsia="Nimbus Sans" w:cs="Nimbus Sans"/>
          <w:b w:val="0"/>
          <w:color w:val="172033"/>
        </w:rPr>
        <w:t xml:space="preserve">What would change the plan: if fewer than one in three homeowners describe coordination as a real burden, or no pilot is willing to pay, the service changes before anything else is built. If trades will not prioritise George’s jobs, the supply model changes first.</w:t>
      </w:r>
    </w:p>
    <w:p>
      <w:pPr>
        <w:pStyle w:val="Heading1"/>
      </w:pPr>
      <w:r>
        <w:rPr>
          <w:rFonts w:ascii="Nimbus Sans" w:hAnsi="Nimbus Sans"/>
          <w:color w:val="000000"/>
          <w:sz w:val="17"/>
        </w:rPr>
        <w:t xml:space="preserve">09   </w:t>
      </w:r>
      <w:r>
        <w:rPr>
          <w:rFonts w:ascii="C059" w:hAnsi="C059" w:eastAsia="C059" w:cs="C059"/>
          <w:b w:val="0"/>
          <w:color w:val="000000"/>
          <w:sz w:val="32"/>
        </w:rPr>
        <w:t>Why I’m building George</w:t>
      </w:r>
    </w:p>
    <w:p>
      <w:r>
        <w:rPr>
          <w:rFonts w:ascii="Nimbus Sans" w:hAnsi="Nimbus Sans" w:eastAsia="Nimbus Sans" w:cs="Nimbus Sans"/>
          <w:b w:val="0"/>
          <w:color w:val="172033"/>
        </w:rPr>
        <w:t xml:space="preserve">I build services that people rely on. As Senior Manager of Product Management at Thomson Reuters, I own the Saffron Design System and the External Developer Portal, lead four direct reports and coordinate more than 30 cross-functional contributors. Before that I ran programs and product marketing at CIBC, and at OpenOil I built an ML-powered investigative search engine: turning scattered records into something useful, which is what George does for a home.</w:t>
      </w:r>
    </w:p>
    <w:p>
      <w:r>
        <w:rPr>
          <w:rFonts w:ascii="Nimbus Sans" w:hAnsi="Nimbus Sans" w:eastAsia="Nimbus Sans" w:cs="Nimbus Sans"/>
          <w:b w:val="0"/>
          <w:color w:val="172033"/>
        </w:rPr>
        <w:t xml:space="preserve">My first degree, from the University of Toronto, combined sociology and architecture: how people live in buildings, and how buildings work. I hold an MBA in Digital Transformation, have lived and worked in Berlin and Paris, and live in Leslieville, next door to the neighbourhoods George will serve first.</w:t>
      </w:r>
    </w:p>
    <w:p>
      <w:pPr>
        <w:pStyle w:val="Heading1"/>
      </w:pPr>
      <w:r>
        <w:rPr>
          <w:sz w:val="17"/>
          <w:rFonts w:ascii="Nimbus Sans" w:hAnsi="Nimbus Sans"/>
          <w:color w:val="000000"/>
        </w:rPr>
        <w:t xml:space="preserve">10   </w:t>
      </w:r>
      <w:r>
        <w:rPr>
          <w:rFonts w:ascii="C059" w:hAnsi="C059" w:eastAsia="C059" w:cs="C059"/>
          <w:b w:val="0"/>
          <w:color w:val="000000"/>
          <w:sz w:val="32"/>
        </w:rPr>
        <w:t>The future opportunity</w:t>
      </w:r>
    </w:p>
    <w:p>
      <w:r>
        <w:rPr>
          <w:rFonts w:ascii="Nimbus Sans" w:hAnsi="Nimbus Sans" w:eastAsia="Nimbus Sans" w:cs="Nimbus Sans"/>
          <w:b w:val="0"/>
          <w:color w:val="172033"/>
        </w:rPr>
        <w:t>The ambition is a home that needs less organizing from its owner. A digital inventory and service history could reduce guesswork for trades, improve preparation and avoid unnecessary visits. That may lower trade and handyman costs; we will test actual savings. Better home intelligence and AI assistance could also let one manager serve more homes while maintaining care standards.</w:t>
      </w:r>
    </w:p>
    <w:p>
      <w:r>
        <w:rPr>
          <w:rFonts w:ascii="Nimbus Sans" w:hAnsi="Nimbus Sans" w:eastAsia="Nimbus Sans" w:cs="Nimbus Sans"/>
          <w:b w:val="0"/>
          <w:color w:val="172033"/>
        </w:rPr>
        <w:t xml:space="preserve">A higher-value opportunity is George Private Residences: families owning 2–5 homes, often travelling, without a dedicated estate manager. One accountable manager would maintain digital records across homes, arrange scheduled checks and vendor access, and prepare residences before arrival. Agreed response targets and reserved supplier capacity could support faster service. Scope, geography and on-site hours would be priced explicitly. </w:t>
      </w:r>
    </w:p>
    <w:p>
      <w:r>
        <w:rPr>
          <w:rFonts w:ascii="Nimbus Sans" w:hAnsi="Nimbus Sans" w:eastAsia="Nimbus Sans" w:cs="Nimbus Sans"/>
          <w:b w:val="0"/>
          <w:color w:val="172033"/>
        </w:rPr>
        <w:t xml:space="preserve">I would test 1–2 paid private clients first.</w:t>
      </w:r>
      <w:r>
        <w:rPr>
          <w:rFonts w:ascii="Nimbus Sans" w:hAnsi="Nimbus Sans" w:eastAsia="Nimbus Sans" w:cs="Nimbus Sans"/>
          <w:b w:val="0"/>
          <w:color w:val="172033"/>
        </w:rPr>
        <w:t xml:space="preserve"> Luxury realtors and wealth advisers are possible introducers; access still needs testing.</w:t>
      </w:r>
    </w:p>
    <w:p>
      <w:r>
        <w:rPr>
          <w:rFonts w:ascii="Nimbus Sans" w:hAnsi="Nimbus Sans" w:eastAsia="Nimbus Sans" w:cs="Nimbus Sans"/>
          <w:b w:val="0"/>
          <w:color w:val="172033"/>
        </w:rPr>
        <w:t xml:space="preserve">Casa is a live US reference. </w:t>
      </w:r>
      <w:r>
        <w:rPr>
          <w:rFonts w:ascii="Nimbus Sans" w:hAnsi="Nimbus Sans" w:eastAsia="Nimbus Sans" w:cs="Nimbus Sans"/>
          <w:b w:val="0"/>
          <w:color w:val="172033"/>
        </w:rPr>
        <w:t xml:space="preserve">Reporting at its April 2026 public launch described two years of prior development and about US$27 million total funding, including a US$20 million Series A. [2]</w:t>
      </w:r>
      <w:r>
        <w:rPr>
          <w:rFonts w:ascii="Nimbus Sans" w:hAnsi="Nimbus Sans" w:eastAsia="Nimbus Sans" w:cs="Nimbus Sans"/>
          <w:b w:val="0"/>
          <w:color w:val="172033"/>
        </w:rPr>
        <w:t xml:space="preserve"> It has since expanded from California to Austin, with a US$199 monthly membership built around 90 minutes of handyman time a month and coordination of larger projects [5]. George starts from the other end: an accountable manager and coordination are the product, and handyman time is the benefit that makes it pay for itself. Casa currently operates only in US markets.</w:t>
      </w:r>
      <w:r>
        <w:rPr>
          <w:rFonts w:ascii="Nimbus Sans" w:hAnsi="Nimbus Sans" w:eastAsia="Nimbus Sans" w:cs="Nimbus Sans"/>
          <w:b w:val="0"/>
          <w:color w:val="172033"/>
        </w:rPr>
        <w:t xml:space="preserve"> Forerunner’s investment thesis concerns a national platform and the future of AI in home care. [3]</w:t>
      </w:r>
    </w:p>
    <w:p>
      <w:r>
        <w:rPr>
          <w:rFonts w:ascii="Nimbus Sans" w:hAnsi="Nimbus Sans" w:eastAsia="Nimbus Sans" w:cs="Nimbus Sans"/>
          <w:b w:val="0"/>
          <w:color w:val="172033"/>
        </w:rPr>
        <w:t>Home purchase and preparation for sale may create especially strong demand: new owners inherit unfamiliar systems, while sellers need outstanding work completed. Realtor-paid onboarding and sale preparation are the closest adjacent opportunities. Insurer-supported memberships, smart-home integrations, household concierge services and tools for property managers or luxury buildings remain future hypotheses, each with its own economics.</w:t>
      </w:r>
    </w:p>
    <w:p>
      <w:pPr>
        <w:pStyle w:val="Heading1"/>
        <w:pageBreakBefore/>
      </w:pPr>
      <w:r>
        <w:rPr>
          <w:sz w:val="17"/>
          <w:rFonts w:ascii="Nimbus Sans" w:hAnsi="Nimbus Sans"/>
          <w:color w:val="000000"/>
        </w:rPr>
        <w:t xml:space="preserve">11   </w:t>
      </w:r>
      <w:r>
        <w:rPr>
          <w:rFonts w:ascii="C059" w:hAnsi="C059" w:eastAsia="C059" w:cs="C059"/>
          <w:b w:val="0"/>
          <w:color w:val="000000"/>
          <w:sz w:val="32"/>
        </w:rPr>
        <w:t>Appendix Value and willingness to pay</w:t>
      </w:r>
    </w:p>
    <w:tbl>
      <w:tblPr>
        <w:tblW w:type="auto" w:w="0"/>
        <w:jc w:val="center"/>
        <w:tblLayout w:type="fixed"/>
        <w:tblLook w:firstColumn="1" w:firstRow="1" w:lastColumn="0" w:lastRow="0" w:noHBand="0" w:noVBand="1" w:val="04A0"/>
      </w:tblPr>
      <w:tblGrid>
        <w:gridCol w:w="4896"/>
        <w:gridCol w:w="4867"/>
      </w:tblGrid>
      <w:tr>
        <w:trPr>
          <w:cantSplit/>
          <w:tblHeader/>
        </w:trPr>
        <w:tc>
          <w:tcPr>
            <w:tcW w:type="dxa" w:w="4896"/>
            <w:vAlign w:val="center"/>
            <w:shd w:fill="1E293B"/>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color w:val="FFFFFF"/>
                <w:sz w:val="19"/>
              </w:rPr>
              <w:t>What the customer receives</w:t>
            </w:r>
          </w:p>
        </w:tc>
        <w:tc>
          <w:tcPr>
            <w:tcW w:type="dxa" w:w="4867"/>
            <w:vAlign w:val="center"/>
            <w:shd w:fill="1E293B"/>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color w:val="FFFFFF"/>
                <w:sz w:val="19"/>
              </w:rPr>
              <w:t>Our payment hypothesis</w:t>
            </w:r>
          </w:p>
        </w:tc>
      </w:tr>
      <w:tr>
        <w:trPr>
          <w:cantSplit/>
        </w:trPr>
        <w:tc>
          <w:tcPr>
            <w:tcW w:type="dxa" w:w="4896"/>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Assessment, digital home inventory and annual plan</w:t>
            </w:r>
          </w:p>
        </w:tc>
        <w:tc>
          <w:tcPr>
            <w:tcW w:type="dxa" w:w="4867"/>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Useful foundations with limited recurring premium.</w:t>
            </w:r>
          </w:p>
        </w:tc>
      </w:tr>
      <w:tr>
        <w:trPr>
          <w:cantSplit/>
        </w:trPr>
        <w:tc>
          <w:tcPr>
            <w:tcW w:type="dxa" w:w="4896"/>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Trusted trades, quotes and budgeting</w:t>
            </w:r>
          </w:p>
        </w:tc>
        <w:tc>
          <w:tcPr>
            <w:tcW w:type="dxa" w:w="4867"/>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A stronger premium for selection and judgement.</w:t>
            </w:r>
          </w:p>
        </w:tc>
      </w:tr>
      <w:tr>
        <w:trPr>
          <w:cantSplit/>
        </w:trPr>
        <w:tc>
          <w:tcPr>
            <w:tcW w:type="dxa" w:w="4896"/>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Scheduling, access, recurring care and follow-up</w:t>
            </w:r>
          </w:p>
        </w:tc>
        <w:tc>
          <w:tcPr>
            <w:tcW w:type="dxa" w:w="4867"/>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High recurring value from handing over coordination.</w:t>
            </w:r>
          </w:p>
        </w:tc>
      </w:tr>
      <w:tr>
        <w:trPr>
          <w:cantSplit/>
        </w:trPr>
        <w:tc>
          <w:tcPr>
            <w:tcW w:type="dxa" w:w="4896"/>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Client advocacy and provider callbacks</w:t>
            </w:r>
          </w:p>
        </w:tc>
        <w:tc>
          <w:tcPr>
            <w:tcW w:type="dxa" w:w="4867"/>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Potentially high value within defined boundaries.</w:t>
            </w:r>
          </w:p>
        </w:tc>
      </w:tr>
      <w:tr>
        <w:trPr>
          <w:cantSplit/>
        </w:trPr>
        <w:tc>
          <w:tcPr>
            <w:tcW w:type="dxa" w:w="4896"/>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Plan refresh and handyman credits</w:t>
            </w:r>
          </w:p>
        </w:tc>
        <w:tc>
          <w:tcPr>
            <w:tcW w:type="dxa" w:w="4867"/>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after="40" w:line="252" w:lineRule="auto"/>
            </w:pPr>
            <w:r>
              <w:rPr>
                <w:rFonts w:ascii="Nimbus Sans" w:hAnsi="Nimbus Sans" w:eastAsia="Nimbus Sans" w:cs="Nimbus Sans"/>
                <w:b w:val="0"/>
                <w:color w:val="172033"/>
                <w:sz w:val="19"/>
              </w:rPr>
              <w:t>Useful benefits supporting the relationship.</w:t>
            </w:r>
          </w:p>
        </w:tc>
      </w:tr>
    </w:tbl>
    <w:p>
      <w:pPr>
        <w:pStyle w:val="Heading2"/>
      </w:pPr>
      <w:r>
        <w:rPr>
          <w:rFonts w:ascii="C059" w:hAnsi="C059"/>
          <w:color w:val="000000"/>
          <w:sz w:val="26"/>
        </w:rPr>
        <w:t>Private residences price test</w:t>
      </w:r>
    </w:p>
    <w:tbl>
      <w:tblPr>
        <w:tblW w:type="auto" w:w="0"/>
        <w:jc w:val="center"/>
        <w:tblLayout w:type="fixed"/>
        <w:tblLook w:firstColumn="1" w:firstRow="1" w:lastColumn="0" w:lastRow="0" w:noHBand="0" w:noVBand="1" w:val="04A0"/>
      </w:tblPr>
      <w:tblGrid>
        <w:gridCol w:w="6134"/>
        <w:gridCol w:w="1814"/>
        <w:gridCol w:w="1814"/>
      </w:tblGrid>
      <w:tr>
        <w:trPr>
          <w:cantSplit/>
        </w:trPr>
        <w:tc>
          <w:tcPr>
            <w:tcW w:type="dxa" w:w="6134"/>
            <w:vAlign w:val="center"/>
            <w:shd w:fill="1E293B"/>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pPr>
            <w:r>
              <w:rPr>
                <w:rFonts w:ascii="Nimbus Sans" w:hAnsi="Nimbus Sans"/>
                <w:b/>
                <w:color w:val="FFFFFF"/>
                <w:sz w:val="19"/>
              </w:rPr>
              <w:t>Three local residences per account</w:t>
            </w:r>
          </w:p>
        </w:tc>
        <w:tc>
          <w:tcPr>
            <w:tcW w:type="dxa" w:w="1814"/>
            <w:vAlign w:val="center"/>
            <w:shd w:fill="1E293B"/>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jc w:val="right"/>
            </w:pPr>
            <w:r>
              <w:rPr>
                <w:rFonts w:ascii="Nimbus Sans" w:hAnsi="Nimbus Sans"/>
                <w:b/>
                <w:color w:val="FFFFFF"/>
                <w:sz w:val="19"/>
              </w:rPr>
              <w:t>First year</w:t>
            </w:r>
          </w:p>
        </w:tc>
        <w:tc>
          <w:tcPr>
            <w:tcW w:type="dxa" w:w="1814"/>
            <w:vAlign w:val="center"/>
            <w:shd w:fill="1E293B"/>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jc w:val="right"/>
            </w:pPr>
            <w:r>
              <w:rPr>
                <w:rFonts w:ascii="Nimbus Sans" w:hAnsi="Nimbus Sans"/>
                <w:b/>
                <w:color w:val="FFFFFF"/>
                <w:sz w:val="19"/>
              </w:rPr>
              <w:t>Renewal</w:t>
            </w:r>
          </w:p>
        </w:tc>
      </w:tr>
      <w:tr>
        <w:trPr>
          <w:cantSplit/>
        </w:trPr>
        <w:tc>
          <w:tcPr>
            <w:tcW w:type="dxa" w:w="613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pPr>
            <w:r>
              <w:rPr>
                <w:rFonts w:ascii="Nimbus Sans" w:hAnsi="Nimbus Sans"/>
                <w:b w:val="0"/>
                <w:color w:val="172033"/>
                <w:sz w:val="19"/>
              </w:rPr>
              <w:t>Annual fee at $2,990 a month</w:t>
            </w:r>
          </w:p>
        </w:tc>
        <w:tc>
          <w:tcPr>
            <w:tcW w:type="dxa" w:w="181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jc w:val="right"/>
            </w:pPr>
            <w:r>
              <w:rPr>
                <w:rFonts w:ascii="Nimbus Sans" w:hAnsi="Nimbus Sans"/>
                <w:b w:val="0"/>
                <w:color w:val="172033"/>
                <w:sz w:val="19"/>
              </w:rPr>
              <w:t>$35,880</w:t>
            </w:r>
          </w:p>
        </w:tc>
        <w:tc>
          <w:tcPr>
            <w:tcW w:type="dxa" w:w="181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jc w:val="right"/>
            </w:pPr>
            <w:r>
              <w:rPr>
                <w:rFonts w:ascii="Nimbus Sans" w:hAnsi="Nimbus Sans"/>
                <w:b w:val="0"/>
                <w:color w:val="172033"/>
                <w:sz w:val="19"/>
              </w:rPr>
              <w:t>$35,880</w:t>
            </w:r>
          </w:p>
        </w:tc>
      </w:tr>
      <w:tr>
        <w:trPr>
          <w:cantSplit/>
        </w:trPr>
        <w:tc>
          <w:tcPr>
            <w:tcW w:type="dxa" w:w="6134"/>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pPr>
            <w:r>
              <w:rPr>
                <w:rFonts w:ascii="Nimbus Sans" w:hAnsi="Nimbus Sans"/>
                <w:b w:val="0"/>
                <w:color w:val="172033"/>
                <w:sz w:val="19"/>
              </w:rPr>
              <w:t>Direct costs including management labour</w:t>
            </w:r>
          </w:p>
        </w:tc>
        <w:tc>
          <w:tcPr>
            <w:tcW w:type="dxa" w:w="1814"/>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jc w:val="right"/>
            </w:pPr>
            <w:r>
              <w:rPr>
                <w:rFonts w:ascii="Nimbus Sans" w:hAnsi="Nimbus Sans"/>
                <w:b w:val="0"/>
                <w:color w:val="172033"/>
                <w:sz w:val="19"/>
              </w:rPr>
              <w:t>$19,230</w:t>
            </w:r>
          </w:p>
        </w:tc>
        <w:tc>
          <w:tcPr>
            <w:tcW w:type="dxa" w:w="1814"/>
            <w:vAlign w:val="center"/>
            <w:shd w:fill="FFFDF7"/>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jc w:val="right"/>
            </w:pPr>
            <w:r>
              <w:rPr>
                <w:rFonts w:ascii="Nimbus Sans" w:hAnsi="Nimbus Sans"/>
                <w:b w:val="0"/>
                <w:color w:val="172033"/>
                <w:sz w:val="19"/>
              </w:rPr>
              <w:t>$14,730</w:t>
            </w:r>
          </w:p>
        </w:tc>
      </w:tr>
      <w:tr>
        <w:trPr>
          <w:cantSplit/>
        </w:trPr>
        <w:tc>
          <w:tcPr>
            <w:tcW w:type="dxa" w:w="613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pPr>
            <w:r>
              <w:rPr>
                <w:rFonts w:ascii="Nimbus Sans" w:hAnsi="Nimbus Sans"/>
                <w:b w:val="0"/>
                <w:color w:val="172033"/>
                <w:sz w:val="19"/>
              </w:rPr>
              <w:t>Contribution before acquisition and overhead</w:t>
            </w:r>
          </w:p>
        </w:tc>
        <w:tc>
          <w:tcPr>
            <w:tcW w:type="dxa" w:w="181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jc w:val="right"/>
            </w:pPr>
            <w:r>
              <w:rPr>
                <w:rFonts w:ascii="Nimbus Sans" w:hAnsi="Nimbus Sans"/>
                <w:b w:val="0"/>
                <w:color w:val="172033"/>
                <w:sz w:val="19"/>
              </w:rPr>
              <w:t>$16,650 / 46%</w:t>
            </w:r>
          </w:p>
        </w:tc>
        <w:tc>
          <w:tcPr>
            <w:tcW w:type="dxa" w:w="1814"/>
            <w:vAlign w:val="center"/>
            <w:shd w:fill="F1F3EF"/>
            <w:tcBorders>
              <w:top w:val="single" w:sz="4" w:color="D9D9D9"/>
              <w:left w:val="single" w:sz="4" w:color="D9D9D9"/>
              <w:bottom w:val="single" w:sz="4" w:color="D9D9D9"/>
              <w:right w:val="single" w:sz="4" w:color="D9D9D9"/>
            </w:tcBorders>
            <w:tcMar>
              <w:top w:w="115" w:type="dxa"/>
              <w:left w:w="115" w:type="dxa"/>
              <w:bottom w:w="115" w:type="dxa"/>
              <w:right w:w="115" w:type="dxa"/>
            </w:tcMar>
          </w:tcPr>
          <w:p>
            <w:pPr>
              <w:spacing w:line="252" w:lineRule="auto" w:after="40"/>
              <w:jc w:val="right"/>
            </w:pPr>
            <w:r>
              <w:rPr>
                <w:rFonts w:ascii="Nimbus Sans" w:hAnsi="Nimbus Sans"/>
                <w:b w:val="0"/>
                <w:color w:val="172033"/>
                <w:sz w:val="19"/>
              </w:rPr>
              <w:t>$21,150 / 59%</w:t>
            </w:r>
          </w:p>
        </w:tc>
      </w:tr>
    </w:tbl>
    <w:p>
      <w:pPr>
        <w:spacing w:before="140"/>
      </w:pPr>
      <w:r>
        <w:rPr>
          <w:rFonts w:ascii="Nimbus Sans" w:hAnsi="Nimbus Sans"/>
          <w:color w:val="172033"/>
          <w:sz w:val="21"/>
        </w:rPr>
        <w:t>This is a tenfold account-fee test, not proof of tenfold customer value. The model budgets 120 recurring hours per account plus 12 onboarding hours per home at $75 an hour, with inspections, handyman credits, travel and a supplier reserve. Five full-year accounts would generate $179,400 in fees. The premium scenario remains separate from the core forecast.</w:t>
      </w:r>
    </w:p>
    <w:p>
      <w:r>
        <w:rPr>
          <w:rFonts w:ascii="Nimbus Sans" w:hAnsi="Nimbus Sans"/>
          <w:color w:val="172033"/>
          <w:sz w:val="21"/>
        </w:rPr>
        <w:t>Test willingness to pay, actual on-site hours, readiness before arrival and response speed. Park Road Concierge advertises home care from $450 a month, so George must demonstrate a materially broader outcome. [4]</w:t>
      </w:r>
    </w:p>
    <w:p>
      <w:r>
        <w:rPr>
          <w:rFonts w:ascii="Nimbus Sans" w:hAnsi="Nimbus Sans"/>
          <w:color w:val="172033"/>
          <w:sz w:val="21"/>
        </w:rPr>
        <w:t>Future website audience: owners of several homes and families frequently away, alongside the core homeowner membership.</w:t>
      </w:r>
    </w:p>
    <w:p>
      <w:pPr>
        <w:spacing w:before="160"/>
      </w:pPr>
      <w:r>
        <w:rPr>
          <w:rFonts w:ascii="Nimbus Sans" w:hAnsi="Nimbus Sans" w:eastAsia="Nimbus Sans" w:cs="Nimbus Sans"/>
          <w:b w:val="0"/>
          <w:color w:val="687064"/>
          <w:sz w:val="16"/>
        </w:rPr>
        <w:t>Basis: George Financial Model v3. All George figures are CAD excluding sales tax. Revenue scenarios assume a full year of membership. Market size, adoption, pricing and delivery costs remain assumptions; contribution is before acquisition and overhead.</w:t>
      </w:r>
    </w:p>
    <w:p>
      <w:pPr>
        <w:spacing w:after="40"/>
      </w:pPr>
      <w:hyperlink r:id="rId11">
        <w:r>
          <w:rPr>
            <w:sz w:val="16"/>
            <w:color w:val="687064"/>
          </w:rPr>
          <w:t>[1] Casa public membership</w:t>
        </w:r>
      </w:hyperlink>
    </w:p>
    <w:p>
      <w:pPr>
        <w:spacing w:after="40"/>
      </w:pPr>
      <w:hyperlink r:id="rId12">
        <w:r>
          <w:rPr>
            <w:sz w:val="16"/>
            <w:color w:val="687064"/>
          </w:rPr>
          <w:t>[2] Inc funding and launch reporting April 30 2026</w:t>
        </w:r>
      </w:hyperlink>
    </w:p>
    <w:p>
      <w:pPr>
        <w:spacing w:after="40"/>
      </w:pPr>
      <w:hyperlink r:id="rId13">
        <w:r>
          <w:rPr>
            <w:sz w:val="16"/>
            <w:color w:val="687064"/>
          </w:rPr>
          <w:t>[3] Forerunner investment thesis April 29 2026</w:t>
        </w:r>
      </w:hyperlink>
    </w:p>
    <w:p>
      <w:pPr>
        <w:spacing w:after="40"/>
      </w:pPr>
      <w:hyperlink r:id="rId16">
        <w:r>
          <w:rPr>
            <w:sz w:val="16"/>
            <w:color w:val="687064"/>
          </w:rPr>
          <w:t>[4] Park Road Concierge published home care pricing</w:t>
        </w:r>
      </w:hyperlink>
    </w:p>
    <w:p>
      <w:pPr>
        <w:spacing w:after="40"/>
      </w:pPr>
      <w:hyperlink r:id="rId17">
        <w:r>
          <w:rPr>
            <w:color w:val="687064"/>
            <w:sz w:val="16"/>
          </w:rPr>
          <w:t>[5] Axios: Casa launches in Austin, September 29 2026</w:t>
        </w:r>
      </w:hyperlink>
    </w:p>
    <w:sectPr w:rsidR="00FC693F" w:rsidRPr="0006063C" w:rsidSect="00034616">
      <w:headerReference w:type="default" r:id="rId9"/>
      <w:footerReference w:type="default" r:id="rId10"/>
      <w:pgSz w:w="12240" w:h="15840"/>
      <w:pgMar w:top="1008" w:right="1238" w:bottom="950" w:left="1238" w:header="374"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63" w:val="right"/>
      </w:tabs>
    </w:pPr>
    <w:r>
      <w:rPr>
        <w:rFonts w:ascii="Nimbus Sans" w:hAnsi="Nimbus Sans" w:eastAsia="Nimbus Sans" w:cs="Nimbus Sans"/>
        <w:b w:val="0"/>
        <w:color w:val="687064"/>
        <w:sz w:val="15"/>
      </w:rPr>
      <w:t xml:space="preserve">LUCILE NEDEN  /  OCTOBER 2026  /  </w:t>
    </w:r>
    <w:r>
      <w:rPr>
        <w:rFonts w:ascii="Nimbus Sans" w:hAnsi="Nimbus Sans" w:eastAsia="Nimbus Sans" w:cs="Nimbus Sans"/>
        <w:b w:val="0"/>
        <w:color w:val="687064"/>
        <w:sz w:val="15"/>
      </w:rPr>
      <w:t>V8</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059" w:hAnsi="C059" w:eastAsia="C059" w:cs="C059"/>
        <w:b w:val="0"/>
        <w:color w:val="000000"/>
        <w:sz w:val="30"/>
      </w:rPr>
      <w:t>George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Nimbus Sans" w:hAnsi="Nimbus Sans" w:eastAsia="Nimbus Sans" w:cs="Nimbus Sans"/>
      <w:b w:val="0"/>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cstheme="majorBidi" w:ascii="C059" w:hAnsi="C059" w:eastAsia="C059" w:cs="C059"/>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cstheme="majorBidi" w:ascii="C059" w:hAnsi="C059" w:eastAsia="C059" w:cs="C059"/>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cstheme="majorBidi" w:ascii="C059" w:hAnsi="C059" w:eastAsia="C059" w:cs="C059"/>
      <w:b w:val="0"/>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Nimbus Sans" w:hAnsi="Nimbus Sans" w:eastAsia="Nimbus Sans" w:cs="Nimbus Sans"/>
      <w:b w:val="0"/>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tcasa.com" TargetMode="External"/><Relationship Id="rId12" Type="http://schemas.openxmlformats.org/officeDocument/2006/relationships/hyperlink" Target="https://www.inc.com/brian-contreras/uber-veterans-raised-27-million-home-maintenance-startup-casa/91338374" TargetMode="External"/><Relationship Id="rId13" Type="http://schemas.openxmlformats.org/officeDocument/2006/relationships/hyperlink" Target="https://www.forerunnerventures.com/perspectives/investing-in-casa-the-modern-operating-system-for-homeownership" TargetMode="External"/><Relationship Id="rId14" Type="http://schemas.openxmlformats.org/officeDocument/2006/relationships/hyperlink" Target="https://www.porticostaff.com/_files/ugd/a53b9c_0eb52a69ad41465983dd0130e0a3f973.pdf" TargetMode="External"/><Relationship Id="rId15" Type="http://schemas.openxmlformats.org/officeDocument/2006/relationships/hyperlink" Target="https://www.youtube.com/watch?v=uWdIgftpvBI" TargetMode="External"/><Relationship Id="rId16" Type="http://schemas.openxmlformats.org/officeDocument/2006/relationships/hyperlink" Target="https://www.parkroadconcierge.ca/prc-care" TargetMode="External"/><Relationship Id="rId17" Type="http://schemas.openxmlformats.org/officeDocument/2006/relationships/hyperlink" Target="https://www.axios.com/local/austin/2026/09/29/casa-home-concierge-startup-launches-aus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business plan v6</dc:title>
  <dc:subject>Property management for homeowners commercial plan and growth opportunity</dc:subject>
  <dc:creator>Lucile Neden</dc:creator>
  <cp:keywords/>
  <dc:description>generated by python-docx</dc:description>
  <cp:lastModifiedBy/>
  <cp:revision>1</cp:revision>
  <dcterms:created xsi:type="dcterms:W3CDTF">2013-12-23T23:15:00Z</dcterms:created>
  <dcterms:modified xsi:type="dcterms:W3CDTF">2013-12-23T23:15:00Z</dcterms:modified>
  <cp:category/>
</cp:coreProperties>
</file>