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E52"/>
          <w:sz w:val="32"/>
          <w:szCs w:val="32"/>
        </w:rPr>
        <w:t xml:space="preserve">Decisão de Design — Estratégia Read-Only para MCP Servers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Projeto: NovaTech Assistant  |  Tarefa 2, Artefato 3  |  Fase: Estruturação</w:t>
      </w:r>
    </w:p>
    <w:p>
      <w:pPr>
        <w:pBdr>
          <w:bottom w:val="single" w:color="2E4A7A" w:sz="6" w:space="4"/>
        </w:pBdr>
        <w:spacing w:after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1. Abordagem escolhida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 abordagem adotada foi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separação em instâncias distintas do server filesystem</w:t>
      </w:r>
      <w:r>
        <w:rPr>
          <w:rFonts w:ascii="Arial" w:cs="Arial" w:eastAsia="Arial" w:hAnsi="Arial"/>
          <w:sz w:val="20"/>
          <w:szCs w:val="20"/>
        </w:rPr>
        <w:t xml:space="preserve">: uma instância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filesystem-src</w:t>
      </w:r>
      <w:r>
        <w:rPr>
          <w:rFonts w:ascii="Arial" w:cs="Arial" w:eastAsia="Arial" w:hAnsi="Arial"/>
          <w:sz w:val="20"/>
          <w:szCs w:val="20"/>
        </w:rPr>
        <w:t xml:space="preserve">) cobre as pastas de trabalho com leitura e escrita; duas instâncias independentes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filesystem-docs-readonly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filesystem-corpus-readonly</w:t>
      </w:r>
      <w:r>
        <w:rPr>
          <w:rFonts w:ascii="Arial" w:cs="Arial" w:eastAsia="Arial" w:hAnsi="Arial"/>
          <w:sz w:val="20"/>
          <w:szCs w:val="20"/>
        </w:rPr>
        <w:t xml:space="preserve">) cobrem as fontes de verdade com acesso restrito a leitura.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Cada instância recebe apenas as pastas estritamente necessárias para sua função: a instância de desenvolvimento não enxerga a documentação de negócio, e as instâncias de leitura não enxergam o código-fonte. Isso reduz a superfície de acesso acidental mesmo sem controle técnico de read-only no nível do server.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2. Comparativo entre as duas abordagens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Instâncias separadas (escolhida ✓)</w:t>
            </w:r>
          </w:p>
        </w:tc>
        <w:tc>
          <w:tcPr>
            <w:tcW w:type="dxa" w:w="35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 documentada (alternativa)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instâncias do filesystem com nomes distintos; pastas read-only não aparecem na instância de escrita.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instância com todas as pastas; regra no AGENTS.md instrui o agente a não escrever em docs/ e corpus/.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Sinalização de intenção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o nome filesystem-docs-readonly comunica a restrição antes mesmo de ler o README.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— um agente que ignora o AGENTS.md não tem nenhum indicador no mcp.json.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técnica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— o agente configurado com a instância readonly não enxerga src/, reduzindo confusão de contexto.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 — o server filesystem executaria uma escrita se o agente a solicitasse.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Complexidade de configuração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Maior — 3 entradas no JSON em vez de 1.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Menor — 1 entrada cobre tudo.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 de manutenção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Moderado — mudança de pasta requer atualização em múltiplas entradas.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 — uma única entrada a manter.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Adequação ao contexto atual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— repositório local, time de 6 pessoas, sem dado sensível em produção.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Aceitável — mas só se AGENTS.md for estritamente seguido por todos os agentes.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3. Por que essa abordagem neste contexto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O contexto atual é um repositório local sem serviços de nuvem provisionados, com um time de seis pessoas e nenhum dado sensível em produção. Nesse cenário, a separação em instâncias nomeadas oferece dois benefícios concretos sem custo operacional significativo: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 nome da instância comunica a intenção antes mesmo de o agente executar qualquer operação. Um desenvolvedor que lê o mcp.json entende imediatamente que filesystem-docs-readonly não deve ser usado para escrita — sem precisar consultar o AGENTS.md ou este documento.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separação de escopo por instância elimina a possibilidade de um agente confundir documentação de negócio com artefatos editáveis: ao receber apenas filesystem-docs-readonly, o agente simplesmente não enxerga ./src ou ./specs, reduzindo o risco de sobreposição de contexto.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4. Limitação conhecida da abordagem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limitação principal é que o server filesystem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impõe read-only tecnicamente</w:t>
      </w:r>
      <w:r>
        <w:rPr>
          <w:rFonts w:ascii="Arial" w:cs="Arial" w:eastAsia="Arial" w:hAnsi="Arial"/>
          <w:sz w:val="20"/>
          <w:szCs w:val="20"/>
        </w:rPr>
        <w:t xml:space="preserve">: se um agente receber a instância filesystem-docs-readonly e solicitar uma operação de escrita em ./docs/novatech/, o server a executará. A restrição é comportamental, não técnica — depende de o agente seguir as instruções do AGENTS.md e de o gate humano de code review capturar qualquer modificação indevida antes do merge.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Em termos práticos: a abordagem é uma política de uso respaldada por sinalização de intenção no nome da instância, não um controle de acesso com garantia técnica. Para o contexto atual (repositório local, sem dado crítico em risco imediato), essa limitação é aceitável.</w:t>
      </w:r>
    </w:p>
    <w:p>
      <w:pPr>
        <w:spacing w:after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4A7A"/>
          <w:sz w:val="24"/>
          <w:szCs w:val="24"/>
        </w:rPr>
        <w:t xml:space="preserve">5. O que deveria mudar em um cenário de produção com time maior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Em produção com múltiplos desenvolvedores e agentes operando simultaneamente, a estratégia deveria evoluir em duas direções: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Controle técnico de acesso: </w:t>
      </w:r>
      <w:r>
        <w:rPr>
          <w:rFonts w:ascii="Arial" w:cs="Arial" w:eastAsia="Arial" w:hAnsi="Arial"/>
          <w:sz w:val="20"/>
          <w:szCs w:val="20"/>
        </w:rPr>
        <w:t xml:space="preserve">Substituir o server filesystem local por um serviço de armazenamento com RBAC real — por exemplo, Azure Blob Storage com permissões por identidade gerenciada ou Azure Files com ACLs. Nesse modelo, read-only é garantido pelo provedor de nuvem, não por convenção, e qualquer tentativa de escrita retorna erro antes de chegar ao filesystem.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Server MCP dedicado para docs: </w:t>
      </w:r>
      <w:r>
        <w:rPr>
          <w:rFonts w:ascii="Arial" w:cs="Arial" w:eastAsia="Arial" w:hAnsi="Arial"/>
          <w:sz w:val="20"/>
          <w:szCs w:val="20"/>
        </w:rPr>
        <w:t xml:space="preserve">Introduzir um MCP server customizado para acesso à documentação de negócio. Em vez de expor o sistema de arquivos diretamente, um server dedicado implementaria as operações de busca com logging de auditoria, versionamento, validação de schema e rate limiting. Isso eliminaria completamente a possibilidade de escrita acidental na fonte de verdade e adicionaria observabilidade sobre quais documentos estão sendo consultados por quais agentes.</w:t>
      </w:r>
    </w:p>
    <w:p>
      <w:pPr>
        <w:spacing w:after="100"/>
      </w:pPr>
    </w:p>
    <w:p>
      <w:pPr>
        <w:pBdr>
          <w:left w:val="single" w:color="2E4A7A" w:sz="12" w:space="6"/>
        </w:pBdr>
        <w:shd w:fill="EAF2FB" w:val="clear"/>
        <w:spacing w:after="200"/>
        <w:ind w:left="36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Resumo: instâncias separadas + AGENTS.md são suficientes para a fase atual (repositório local, time pequeno, sem dado sensível em produção). Esta decisão deve ser revisada antes do deploy em ambiente de staging com múltiplos desenvolvedores simultâneos ou quando a documentação de negócio contiver informações sensíveis que exijam controle de acesso formal.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E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4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2026-06-15T01:18:50.094Z</dcterms:created>
  <dcterms:modified xsi:type="dcterms:W3CDTF">2026-06-15T01:18:50.096Z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