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r>
        <w:t xml:space="preserve"/>
      </w:r>
    </w:p>
    <w:p>
      <w:pPr>
        <w:spacing w:after="40" w:before="0"/>
        <w:jc w:val="center"/>
      </w:pPr>
      <w:r>
        <w:rPr>
          <w:rFonts w:ascii="Arial" w:cs="Arial" w:eastAsia="Arial" w:hAnsi="Arial"/>
          <w:color w:val="595959"/>
          <w:sz w:val="24"/>
          <w:szCs w:val="24"/>
        </w:rPr>
        <w:t xml:space="preserve">DB1 × NovaTech</w:t>
      </w:r>
    </w:p>
    <w:p>
      <w:pPr>
        <w:spacing w:after="80" w:before="0"/>
        <w:jc w:val="center"/>
      </w:pPr>
      <w:r>
        <w:rPr>
          <w:rFonts w:ascii="Arial" w:cs="Arial" w:eastAsia="Arial" w:hAnsi="Arial"/>
          <w:b/>
          <w:bCs/>
          <w:color w:val="1F3864"/>
          <w:sz w:val="40"/>
          <w:szCs w:val="40"/>
        </w:rPr>
        <w:t xml:space="preserve">Análise Técnica de Viabilidade</w:t>
      </w:r>
    </w:p>
    <w:p>
      <w:pPr>
        <w:spacing w:after="40" w:before="0"/>
        <w:jc w:val="center"/>
      </w:pPr>
      <w:r>
        <w:rPr>
          <w:rFonts w:ascii="Arial" w:cs="Arial" w:eastAsia="Arial" w:hAnsi="Arial"/>
          <w:color w:val="2E5FA3"/>
          <w:sz w:val="26"/>
          <w:szCs w:val="26"/>
        </w:rPr>
        <w:t xml:space="preserve">Pipeline de RAG — Assistente de Atendimento ao Cliente</w:t>
      </w:r>
    </w:p>
    <w:p>
      <w:pPr>
        <w:spacing w:after="0" w:before="40"/>
        <w:jc w:val="center"/>
      </w:pPr>
      <w:r>
        <w:rPr>
          <w:rFonts w:ascii="Arial" w:cs="Arial" w:eastAsia="Arial" w:hAnsi="Arial"/>
          <w:i/>
          <w:iCs/>
          <w:color w:val="595959"/>
          <w:sz w:val="18"/>
          <w:szCs w:val="18"/>
        </w:rPr>
        <w:t xml:space="preserve">Junho / 2025  ·  Versão 1.0  ·  Confidencial</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none" w:color="FFFFFF" w:sz="0"/>
              <w:bottom w:val="none" w:color="FFFFFF" w:sz="0"/>
              <w:right w:val="none" w:color="FFFFFF" w:sz="0"/>
            </w:tcBorders>
            <w:shd w:fill="FFFFFF" w:val="clear"/>
          </w:tcPr>
          <w:p>
            <w:r>
              <w:t xml:space="preserve"/>
            </w:r>
          </w:p>
        </w:tc>
      </w:tr>
    </w:tbl>
    <w:p>
      <w:pPr>
        <w:spacing w:after="0" w:before="400"/>
      </w:pPr>
      <w:r>
        <w:t xml:space="preserve"/>
      </w:r>
    </w:p>
    <w:p>
      <w:r>
        <w:br w:type="page"/>
      </w:r>
    </w:p>
    <w:p>
      <w:pPr>
        <w:pStyle w:val="Heading1"/>
        <w:spacing w:after="120" w:before="360"/>
      </w:pPr>
      <w:r>
        <w:rPr>
          <w:rFonts w:ascii="Arial" w:cs="Arial" w:eastAsia="Arial" w:hAnsi="Arial"/>
          <w:b/>
          <w:bCs/>
          <w:color w:val="1F3864"/>
          <w:sz w:val="32"/>
          <w:szCs w:val="32"/>
        </w:rPr>
        <w:t xml:space="preserve">Sumário Executivo</w:t>
      </w:r>
    </w:p>
    <w:p>
      <w:pPr>
        <w:spacing w:after="80" w:before="80"/>
      </w:pPr>
      <w:r>
        <w:rPr>
          <w:rFonts w:ascii="Arial" w:cs="Arial" w:eastAsia="Arial" w:hAnsi="Arial"/>
          <w:color w:val="1A1A1A"/>
          <w:sz w:val="20"/>
          <w:szCs w:val="20"/>
        </w:rPr>
        <w:t xml:space="preserve">Este documento apresenta a análise técnica de viabilidade do pipeline de </w:t>
      </w:r>
      <w:r>
        <w:rPr>
          <w:rFonts w:ascii="Arial" w:cs="Arial" w:eastAsia="Arial" w:hAnsi="Arial"/>
          <w:b/>
          <w:bCs/>
          <w:color w:val="1A1A1A"/>
          <w:sz w:val="20"/>
          <w:szCs w:val="20"/>
        </w:rPr>
        <w:t xml:space="preserve">Retrieval-Augmented Generation (RAG)</w:t>
      </w:r>
      <w:r>
        <w:rPr>
          <w:rFonts w:ascii="Arial" w:cs="Arial" w:eastAsia="Arial" w:hAnsi="Arial"/>
          <w:color w:val="1A1A1A"/>
          <w:sz w:val="20"/>
          <w:szCs w:val="20"/>
        </w:rPr>
        <w:t xml:space="preserve"> para o assistente de IA da NovaTech. A análise cobre os quatro tipos de fontes documentais envolvidas, os desafios de ingestão específicos de cada uma, a estimativa do tamanho total da base de conhecimento em tokens, o orçamento de contexto por query no GPT-4o e a estratégia de chunking recomendada.</w:t>
      </w:r>
    </w:p>
    <w:p>
      <w:pPr>
        <w:spacing w:after="0" w:before="160"/>
      </w:pPr>
      <w:r>
        <w:t xml:space="preserve"/>
      </w:r>
    </w:p>
    <w:p>
      <w:pPr>
        <w:spacing w:after="80" w:before="80"/>
      </w:pPr>
      <w:r>
        <w:rPr>
          <w:rFonts w:ascii="Arial" w:cs="Arial" w:eastAsia="Arial" w:hAnsi="Arial"/>
          <w:color w:val="1A1A1A"/>
          <w:sz w:val="20"/>
          <w:szCs w:val="20"/>
        </w:rPr>
        <w:t xml:space="preserve">O diagnóstico central é que a NovaTech possui uma base heterogênea de </w:t>
      </w:r>
      <w:r>
        <w:rPr>
          <w:rFonts w:ascii="Arial" w:cs="Arial" w:eastAsia="Arial" w:hAnsi="Arial"/>
          <w:b/>
          <w:bCs/>
          <w:color w:val="1A1A1A"/>
          <w:sz w:val="20"/>
          <w:szCs w:val="20"/>
        </w:rPr>
        <w:t xml:space="preserve">~1.200 documentos e páginas</w:t>
      </w:r>
      <w:r>
        <w:rPr>
          <w:rFonts w:ascii="Arial" w:cs="Arial" w:eastAsia="Arial" w:hAnsi="Arial"/>
          <w:color w:val="1A1A1A"/>
          <w:sz w:val="20"/>
          <w:szCs w:val="20"/>
        </w:rPr>
        <w:t xml:space="preserve">, com complexidades distintas por fonte — tabelas multicolunais, OCR, macros wiki e fórmulas interdependentes em planilhas. Tratados corretamente, esses desafios são mitigáveis. Tratados genericamente, eles comprometem a qualidade das respostas do assistente de forma estrutural.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D6E4F0" w:val="clear"/>
            <w:tcMar>
              <w:top w:type="dxa" w:w="120"/>
              <w:left w:type="dxa" w:w="160"/>
              <w:bottom w:type="dxa" w:w="120"/>
              <w:right w:type="dxa" w:w="160"/>
            </w:tcMar>
          </w:tcPr>
          <w:p>
            <w:pPr>
              <w:spacing w:after="80" w:before="0"/>
            </w:pPr>
            <w:r>
              <w:rPr>
                <w:rFonts w:ascii="Arial" w:cs="Arial" w:eastAsia="Arial" w:hAnsi="Arial"/>
                <w:b/>
                <w:bCs/>
                <w:color w:val="1F3864"/>
                <w:sz w:val="20"/>
                <w:szCs w:val="20"/>
              </w:rPr>
              <w:t xml:space="preserve">📌  Conclusão de viabilidade</w:t>
            </w:r>
          </w:p>
          <w:p>
            <w:pPr>
              <w:spacing w:after="80" w:before="80"/>
            </w:pPr>
            <w:r>
              <w:rPr>
                <w:rFonts w:ascii="Arial" w:cs="Arial" w:eastAsia="Arial" w:hAnsi="Arial"/>
                <w:color w:val="1A1A1A"/>
                <w:sz w:val="20"/>
                <w:szCs w:val="20"/>
              </w:rPr>
              <w:t xml:space="preserve">O pipeline de RAG é </w:t>
            </w:r>
            <w:r>
              <w:rPr>
                <w:rFonts w:ascii="Arial" w:cs="Arial" w:eastAsia="Arial" w:hAnsi="Arial"/>
                <w:b/>
                <w:bCs/>
                <w:color w:val="1A1A1A"/>
                <w:sz w:val="20"/>
                <w:szCs w:val="20"/>
              </w:rPr>
              <w:t xml:space="preserve">tecnicamente viável</w:t>
            </w:r>
            <w:r>
              <w:rPr>
                <w:rFonts w:ascii="Arial" w:cs="Arial" w:eastAsia="Arial" w:hAnsi="Arial"/>
                <w:color w:val="1A1A1A"/>
                <w:sz w:val="20"/>
                <w:szCs w:val="20"/>
              </w:rPr>
              <w:t xml:space="preserve"> para a NovaTech. A base total estimada (~</w:t>
            </w:r>
            <w:r>
              <w:rPr>
                <w:rFonts w:ascii="Arial" w:cs="Arial" w:eastAsia="Arial" w:hAnsi="Arial"/>
                <w:b/>
                <w:bCs/>
                <w:color w:val="1A1A1A"/>
                <w:sz w:val="20"/>
                <w:szCs w:val="20"/>
              </w:rPr>
              <w:t xml:space="preserve">10,5M tokens</w:t>
            </w:r>
            <w:r>
              <w:rPr>
                <w:rFonts w:ascii="Arial" w:cs="Arial" w:eastAsia="Arial" w:hAnsi="Arial"/>
                <w:color w:val="1A1A1A"/>
                <w:sz w:val="20"/>
                <w:szCs w:val="20"/>
              </w:rPr>
              <w:t xml:space="preserve">) não cabe integralmente em nenhuma janela de contexto atual, portanto o subsistema de retrieval precisa ser tratado com o mesmo rigor de engenharia que o próprio LLM. As estratégias detalhadas neste documento viabilizam um assistente com alta precisão nas perguntas operacionais do dia a dia de atendimento.</w:t>
            </w:r>
          </w:p>
          <w:p>
            <w:pPr>
              <w:spacing w:after="80" w:before="80"/>
            </w:pPr>
            <w:r>
              <w:rPr>
                <w:rFonts w:ascii="Arial" w:cs="Arial" w:eastAsia="Arial" w:hAnsi="Arial"/>
                <w:color w:val="1A1A1A"/>
                <w:sz w:val="20"/>
                <w:szCs w:val="20"/>
              </w:rPr>
              <w:t xml:space="preserve">A análise identificou adicionalmente </w:t>
            </w:r>
            <w:r>
              <w:rPr>
                <w:rFonts w:ascii="Arial" w:cs="Arial" w:eastAsia="Arial" w:hAnsi="Arial"/>
                <w:b/>
                <w:bCs/>
                <w:color w:val="1A1A1A"/>
                <w:sz w:val="20"/>
                <w:szCs w:val="20"/>
              </w:rPr>
              <w:t xml:space="preserve">quatro riscos operacionais críticos ausentes da versão inicial:</w:t>
            </w:r>
            <w:r>
              <w:rPr>
                <w:rFonts w:ascii="Arial" w:cs="Arial" w:eastAsia="Arial" w:hAnsi="Arial"/>
                <w:color w:val="1A1A1A"/>
                <w:sz w:val="20"/>
                <w:szCs w:val="20"/>
              </w:rPr>
              <w:t xml:space="preserve"> governança de acesso à base de documentos, drift de qualidade por desatualização silenciosa, cardinalidade de chunks em tabelas de frete, e latência incompatível com atendimento em tempo real.</w:t>
            </w:r>
          </w:p>
        </w:tc>
      </w:tr>
    </w:tbl>
    <w:p>
      <w:pPr>
        <w:spacing w:after="0" w:before="400"/>
      </w:pPr>
      <w:r>
        <w:t xml:space="preserve"/>
      </w:r>
    </w:p>
    <w:p>
      <w:r>
        <w:br w:type="page"/>
      </w:r>
    </w:p>
    <w:p>
      <w:pPr>
        <w:pStyle w:val="Heading1"/>
        <w:spacing w:after="120" w:before="360"/>
      </w:pPr>
      <w:r>
        <w:rPr>
          <w:rFonts w:ascii="Arial" w:cs="Arial" w:eastAsia="Arial" w:hAnsi="Arial"/>
          <w:b/>
          <w:bCs/>
          <w:color w:val="1F3864"/>
          <w:sz w:val="32"/>
          <w:szCs w:val="32"/>
        </w:rPr>
        <w:t xml:space="preserve">1  Análise por Tipo de Fonte</w:t>
      </w:r>
    </w:p>
    <w:p>
      <w:pPr>
        <w:pStyle w:val="Heading2"/>
        <w:pBdr>
          <w:bottom w:val="single" w:color="2E5FA3" w:sz="4" w:space="4"/>
        </w:pBdr>
        <w:spacing w:after="100" w:before="280"/>
      </w:pPr>
      <w:r>
        <w:rPr>
          <w:rFonts w:ascii="Arial" w:cs="Arial" w:eastAsia="Arial" w:hAnsi="Arial"/>
          <w:b/>
          <w:bCs/>
          <w:color w:val="2E5FA3"/>
          <w:sz w:val="26"/>
          <w:szCs w:val="26"/>
        </w:rPr>
        <w:t xml:space="preserve">1.1  PDFs com Tabelas Complexas (15+ colunas) e Fluxogramas como Imagens</w:t>
      </w:r>
    </w:p>
    <w:p>
      <w:pPr>
        <w:spacing w:after="0" w:before="80"/>
      </w:pPr>
      <w:r>
        <w:t xml:space="preserve"/>
      </w:r>
    </w:p>
    <w:p>
      <w:pPr>
        <w:pStyle w:val="Heading3"/>
        <w:spacing w:after="80" w:before="200"/>
      </w:pPr>
      <w:r>
        <w:rPr>
          <w:rFonts w:ascii="Arial" w:cs="Arial" w:eastAsia="Arial" w:hAnsi="Arial"/>
          <w:b/>
          <w:bCs/>
          <w:color w:val="1F3864"/>
          <w:sz w:val="22"/>
          <w:szCs w:val="22"/>
        </w:rPr>
        <w:t xml:space="preserve">Desafio específico para o pipeline de RAG</w:t>
      </w:r>
    </w:p>
    <w:p>
      <w:pPr>
        <w:spacing w:after="80" w:before="80"/>
      </w:pPr>
      <w:r>
        <w:rPr>
          <w:rFonts w:ascii="Arial" w:cs="Arial" w:eastAsia="Arial" w:hAnsi="Arial"/>
          <w:color w:val="1A1A1A"/>
          <w:sz w:val="20"/>
          <w:szCs w:val="20"/>
        </w:rPr>
        <w:t xml:space="preserve">A extração de texto de PDFs com tabelas de 15+ colunas via bibliotecas padrão (PyMuPDF, pdfplumber) produz saída linearizada: as células são lidas da esquerda para a direita, linha por linha, sem marcadores de separação de coluna. Uma tabela de frete com dimensões </w:t>
      </w:r>
      <w:r>
        <w:rPr>
          <w:rFonts w:ascii="Arial" w:cs="Arial" w:eastAsia="Arial" w:hAnsi="Arial"/>
          <w:b/>
          <w:bCs/>
          <w:color w:val="1A1A1A"/>
          <w:sz w:val="20"/>
          <w:szCs w:val="20"/>
        </w:rPr>
        <w:t xml:space="preserve">15 colunas × 80 linhas</w:t>
      </w:r>
      <w:r>
        <w:rPr>
          <w:rFonts w:ascii="Arial" w:cs="Arial" w:eastAsia="Arial" w:hAnsi="Arial"/>
          <w:color w:val="1A1A1A"/>
          <w:sz w:val="20"/>
          <w:szCs w:val="20"/>
        </w:rPr>
        <w:t xml:space="preserve"> se transforma em um bloco de texto corrido de ~1.200 células onde a relação cabeçalho→valor é perdida.</w:t>
      </w:r>
    </w:p>
    <w:p>
      <w:pPr>
        <w:spacing w:after="0" w:before="120"/>
      </w:pPr>
      <w:r>
        <w:t xml:space="preserve"/>
      </w:r>
    </w:p>
    <w:p>
      <w:pPr>
        <w:spacing w:after="80" w:before="80"/>
      </w:pPr>
      <w:r>
        <w:rPr>
          <w:rFonts w:ascii="Arial" w:cs="Arial" w:eastAsia="Arial" w:hAnsi="Arial"/>
          <w:color w:val="1A1A1A"/>
          <w:sz w:val="20"/>
          <w:szCs w:val="20"/>
        </w:rPr>
        <w:t xml:space="preserve">Fluxogramas salvos como imagens (JPEG/PNG embutidas no PDF) são invisíveis para qualquer extrator de texto. O conteúdo — tipicamente procedimentos de escalonamento de reclamações, roteiros de decisão de elegibilidade — simplesmente </w:t>
      </w:r>
      <w:r>
        <w:rPr>
          <w:rFonts w:ascii="Arial" w:cs="Arial" w:eastAsia="Arial" w:hAnsi="Arial"/>
          <w:b/>
          <w:bCs/>
          <w:color w:val="1A1A1A"/>
          <w:sz w:val="20"/>
          <w:szCs w:val="20"/>
        </w:rPr>
        <w:t xml:space="preserve">não existe</w:t>
      </w:r>
      <w:r>
        <w:rPr>
          <w:rFonts w:ascii="Arial" w:cs="Arial" w:eastAsia="Arial" w:hAnsi="Arial"/>
          <w:color w:val="1A1A1A"/>
          <w:sz w:val="20"/>
          <w:szCs w:val="20"/>
        </w:rPr>
        <w:t xml:space="preserve"> para o pipeline sem tratamento específico de visão computacional.</w:t>
      </w:r>
    </w:p>
    <w:p>
      <w:pPr>
        <w:spacing w:after="0" w:before="120"/>
      </w:pPr>
      <w:r>
        <w:t xml:space="preserve"/>
      </w:r>
    </w:p>
    <w:p>
      <w:pPr>
        <w:pStyle w:val="Heading3"/>
        <w:spacing w:after="80" w:before="200"/>
      </w:pPr>
      <w:r>
        <w:rPr>
          <w:rFonts w:ascii="Arial" w:cs="Arial" w:eastAsia="Arial" w:hAnsi="Arial"/>
          <w:b/>
          <w:bCs/>
          <w:color w:val="1F3864"/>
          <w:sz w:val="22"/>
          <w:szCs w:val="22"/>
        </w:rPr>
        <w:t xml:space="preserve">Como isso afeta a qualidade das respostas</w:t>
      </w:r>
    </w:p>
    <w:p>
      <w:pPr>
        <w:spacing w:after="80" w:before="80"/>
      </w:pPr>
      <w:r>
        <w:rPr>
          <w:rFonts w:ascii="Arial" w:cs="Arial" w:eastAsia="Arial" w:hAnsi="Arial"/>
          <w:color w:val="1A1A1A"/>
          <w:sz w:val="20"/>
          <w:szCs w:val="20"/>
        </w:rPr>
        <w:t xml:space="preserve">Dois impactos diretos e mensuráveis: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Respostas numéricas erradas: </w:t>
      </w:r>
      <w:r>
        <w:rPr>
          <w:rFonts w:ascii="Arial" w:cs="Arial" w:eastAsia="Arial" w:hAnsi="Arial"/>
          <w:color w:val="1A1A1A"/>
          <w:sz w:val="20"/>
          <w:szCs w:val="20"/>
        </w:rPr>
        <w:t xml:space="preserve">a atendente pergunta 'qual o prazo de entrega para cliente Gold com carga acima de 500 kg para o Nordeste?' O chunk recuperado contém a linha correta da tabela, mas sem o cabeçalho de coluna o LLM não sabe qual número corresponde a qual região/peso. Ele pode alucinar o valor correto ou retornar o valor errado com alta confiança.</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Respostas incompletas em procedimentos: </w:t>
      </w:r>
      <w:r>
        <w:rPr>
          <w:rFonts w:ascii="Arial" w:cs="Arial" w:eastAsia="Arial" w:hAnsi="Arial"/>
          <w:color w:val="1A1A1A"/>
          <w:sz w:val="20"/>
          <w:szCs w:val="20"/>
        </w:rPr>
        <w:t xml:space="preserve">se o fluxograma de 'procedimento de reclamação de avaria' não foi indexado, o assistente responderá com o texto narrativo disponível (fragmentário) ou admitirá que não tem a informação — prejudicando a confiança da atendente na ferramenta.</w:t>
      </w:r>
    </w:p>
    <w:p>
      <w:pPr>
        <w:spacing w:after="0" w:before="120"/>
      </w:pPr>
      <w:r>
        <w:t xml:space="preserve"/>
      </w:r>
    </w:p>
    <w:p>
      <w:pPr>
        <w:pStyle w:val="Heading3"/>
        <w:spacing w:after="80" w:before="200"/>
      </w:pPr>
      <w:r>
        <w:rPr>
          <w:rFonts w:ascii="Arial" w:cs="Arial" w:eastAsia="Arial" w:hAnsi="Arial"/>
          <w:b/>
          <w:bCs/>
          <w:color w:val="1F3864"/>
          <w:sz w:val="22"/>
          <w:szCs w:val="22"/>
        </w:rPr>
        <w:t xml:space="preserve">Estratégia de tratamento</w:t>
      </w:r>
    </w:p>
    <w:p>
      <w:pPr>
        <w:spacing w:after="80" w:before="80"/>
      </w:pPr>
      <w:r>
        <w:rPr>
          <w:rFonts w:ascii="Arial" w:cs="Arial" w:eastAsia="Arial" w:hAnsi="Arial"/>
          <w:b/>
          <w:bCs/>
          <w:color w:val="1A1A1A"/>
          <w:sz w:val="20"/>
          <w:szCs w:val="20"/>
        </w:rPr>
        <w:t xml:space="preserve">Para tabelas: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Usar pdfplumber</w:t>
      </w:r>
      <w:r>
        <w:rPr>
          <w:rFonts w:ascii="Arial" w:cs="Arial" w:eastAsia="Arial" w:hAnsi="Arial"/>
          <w:color w:val="1A1A1A"/>
          <w:sz w:val="20"/>
          <w:szCs w:val="20"/>
        </w:rPr>
        <w:t xml:space="preserve"> com detecção de bordas de célula em vez de extração por fluxo de texto. O pdfplumber identifica coordenadas de cada célula, permitindo reconstruir a tabela em formato estruturado.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Converter para Markdown com cabeçalhos explícitos: </w:t>
      </w:r>
      <w:r>
        <w:rPr>
          <w:rFonts w:ascii="Arial" w:cs="Arial" w:eastAsia="Arial" w:hAnsi="Arial"/>
          <w:color w:val="1A1A1A"/>
          <w:sz w:val="20"/>
          <w:szCs w:val="20"/>
        </w:rPr>
        <w:t xml:space="preserve">cada linha da tabela de frete deve ser serializada assim: Região: Nordeste | Perfil: Gold | Peso: 500-999 kg | Prazo: 5 dias úteis. Isso preserva o contexto semântico mesmo quando o chunk é extraído isoladamente.</w:t>
      </w:r>
    </w:p>
    <w:p>
      <w:pPr>
        <w:pStyle w:val="ListParagraph"/>
        <w:numPr>
          <w:ilvl w:val="0"/>
          <w:numId w:val="2"/>
        </w:numPr>
        <w:spacing w:after="60" w:before="60"/>
        <w:ind w:left="720" w:hanging="360"/>
      </w:pPr>
      <w:r>
        <w:rPr>
          <w:rFonts w:ascii="Arial" w:cs="Arial" w:eastAsia="Arial" w:hAnsi="Arial"/>
          <w:b/>
          <w:bCs/>
          <w:color w:val="1A1A1A"/>
          <w:sz w:val="20"/>
          <w:szCs w:val="20"/>
        </w:rPr>
        <w:t xml:space="preserve">Chunking por linha de tabela, não por bloco: </w:t>
      </w:r>
      <w:r>
        <w:rPr>
          <w:rFonts w:ascii="Arial" w:cs="Arial" w:eastAsia="Arial" w:hAnsi="Arial"/>
          <w:color w:val="1A1A1A"/>
          <w:sz w:val="20"/>
          <w:szCs w:val="20"/>
        </w:rPr>
        <w:t xml:space="preserve">cada linha (ou grupo de 3-5 linhas correlatas) é um chunk independente, com o cabeçalho da tabela repetido no início do chunk. Isso garante que o vetor de embedding captura a relação cabeçalho→valor.</w:t>
      </w:r>
    </w:p>
    <w:p>
      <w:pPr>
        <w:pStyle w:val="ListParagraph"/>
        <w:numPr>
          <w:ilvl w:val="0"/>
          <w:numId w:val="2"/>
        </w:numPr>
        <w:spacing w:after="60" w:before="60"/>
        <w:ind w:left="720" w:hanging="360"/>
      </w:pPr>
      <w:r>
        <w:rPr>
          <w:rFonts w:ascii="Arial" w:cs="Arial" w:eastAsia="Arial" w:hAnsi="Arial"/>
          <w:b/>
          <w:bCs/>
          <w:color w:val="1A1A1A"/>
          <w:sz w:val="20"/>
          <w:szCs w:val="20"/>
        </w:rPr>
        <w:t xml:space="preserve">Metadados de localização: </w:t>
      </w:r>
      <w:r>
        <w:rPr>
          <w:rFonts w:ascii="Arial" w:cs="Arial" w:eastAsia="Arial" w:hAnsi="Arial"/>
          <w:color w:val="1A1A1A"/>
          <w:sz w:val="20"/>
          <w:szCs w:val="20"/>
        </w:rPr>
        <w:t xml:space="preserve">adicionar ao metadata de cada chunk: nome do documento, número da página, nome da tabela e índice de linha. Isso habilita citação precisa de fonte.</w:t>
      </w:r>
    </w:p>
    <w:p>
      <w:pPr>
        <w:spacing w:after="0" w:before="120"/>
      </w:pPr>
      <w:r>
        <w:t xml:space="preserve"/>
      </w:r>
    </w:p>
    <w:p>
      <w:pPr>
        <w:spacing w:after="80" w:before="80"/>
      </w:pPr>
      <w:r>
        <w:rPr>
          <w:rFonts w:ascii="Arial" w:cs="Arial" w:eastAsia="Arial" w:hAnsi="Arial"/>
          <w:b/>
          <w:bCs/>
          <w:color w:val="1A1A1A"/>
          <w:sz w:val="20"/>
          <w:szCs w:val="20"/>
        </w:rPr>
        <w:t xml:space="preserve">Para fluxogramas (imagens):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Detecção automática de imagens: </w:t>
      </w:r>
      <w:r>
        <w:rPr>
          <w:rFonts w:ascii="Arial" w:cs="Arial" w:eastAsia="Arial" w:hAnsi="Arial"/>
          <w:color w:val="1A1A1A"/>
          <w:sz w:val="20"/>
          <w:szCs w:val="20"/>
        </w:rPr>
        <w:t xml:space="preserve">durante a ingestão, identificar páginas com imagens embutidas acima de um limiar de tamanho (ex: &gt; 50 KB, para excluir logos).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Pipeline de visão via GPT-4o Vision ou similar: </w:t>
      </w:r>
      <w:r>
        <w:rPr>
          <w:rFonts w:ascii="Arial" w:cs="Arial" w:eastAsia="Arial" w:hAnsi="Arial"/>
          <w:color w:val="1A1A1A"/>
          <w:sz w:val="20"/>
          <w:szCs w:val="20"/>
        </w:rPr>
        <w:t xml:space="preserve">enviar a imagem com prompt estruturado: 'Descreva este fluxograma em formato de lista de decisões sequenciais. Para cada nó de decisão, indique a condição e os dois ramos possíveis.' A saída textual é então indexada como chunk normal. </w:t>
      </w:r>
      <w:r>
        <w:rPr>
          <w:rFonts w:ascii="Arial" w:cs="Arial" w:eastAsia="Arial" w:hAnsi="Arial"/>
          <w:b/>
          <w:bCs/>
          <w:color w:val="C55A11"/>
          <w:sz w:val="20"/>
          <w:szCs w:val="20"/>
        </w:rPr>
        <w:t xml:space="preserve">Custo operacional: </w:t>
      </w:r>
      <w:r>
        <w:rPr>
          <w:rFonts w:ascii="Arial" w:cs="Arial" w:eastAsia="Arial" w:hAnsi="Arial"/>
          <w:color w:val="1A1A1A"/>
          <w:sz w:val="20"/>
          <w:szCs w:val="20"/>
        </w:rPr>
        <w:t xml:space="preserve">cada fluxograma representa uma chamada de API adicional durante a ingestão. Com ~800 PDFs e média de 1-2 fluxogramas por documento, o pipeline de ingestão inicial processará 800-1.600 chamadas de visão — custo de setup a ser orçado separadamente da operação contínua. </w:t>
      </w:r>
      <w:r>
        <w:rPr>
          <w:rFonts w:ascii="Arial" w:cs="Arial" w:eastAsia="Arial" w:hAnsi="Arial"/>
          <w:b/>
          <w:bCs/>
          <w:color w:val="C55A11"/>
          <w:sz w:val="20"/>
          <w:szCs w:val="20"/>
        </w:rPr>
        <w:t xml:space="preserve">Filtro de resolução: </w:t>
      </w:r>
      <w:r>
        <w:rPr>
          <w:rFonts w:ascii="Arial" w:cs="Arial" w:eastAsia="Arial" w:hAnsi="Arial"/>
          <w:color w:val="1A1A1A"/>
          <w:sz w:val="20"/>
          <w:szCs w:val="20"/>
        </w:rPr>
        <w:t xml:space="preserve">PDFs escaneados têm imagens embutidas de resolução variável. Imagens abaixo de 150 DPI produzem transcrições por visão computacional de qualidade degradada e devem ser descartadas do pipeline de visão (sinalizadas como ‘fluxograma não processável’ nos metadados do chunk). Implementar filtro de resolução mínima antes do envio à API. </w:t>
      </w:r>
      <w:r>
        <w:rPr>
          <w:rFonts w:ascii="Arial" w:cs="Arial" w:eastAsia="Arial" w:hAnsi="Arial"/>
          <w:b/>
          <w:bCs/>
          <w:color w:val="2E5FA3"/>
          <w:sz w:val="20"/>
          <w:szCs w:val="20"/>
        </w:rPr>
        <w:t xml:space="preserve">Status: </w:t>
      </w:r>
      <w:r>
        <w:rPr>
          <w:rFonts w:ascii="Arial" w:cs="Arial" w:eastAsia="Arial" w:hAnsi="Arial"/>
          <w:color w:val="1A1A1A"/>
          <w:sz w:val="20"/>
          <w:szCs w:val="20"/>
        </w:rPr>
        <w:t xml:space="preserve">estratégia recomendada com validação obrigatória no spike técnico — não é decisão final. A qualidade da transcrição depende do tipo de fluxograma (simples vs. complexo) e da resolução dos scans da NovaTech, variáveis só mensuráveis com amostras reais.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Enriquecimento com contexto da página: </w:t>
      </w:r>
      <w:r>
        <w:rPr>
          <w:rFonts w:ascii="Arial" w:cs="Arial" w:eastAsia="Arial" w:hAnsi="Arial"/>
          <w:color w:val="1A1A1A"/>
          <w:sz w:val="20"/>
          <w:szCs w:val="20"/>
        </w:rPr>
        <w:t xml:space="preserve">o chunk do fluxograma deve incluir o título da seção onde a imagem aparece, para que o retrieval saiba que aquele procedimento pertence, por exemplo, a 'Política de Reclamação de Avaria'.</w:t>
      </w:r>
    </w:p>
    <w:p>
      <w:pPr>
        <w:spacing w:after="0" w:before="24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1.2  PDFs Escaneados (OCR necessário)</w:t>
      </w:r>
    </w:p>
    <w:p>
      <w:pPr>
        <w:spacing w:after="0" w:before="80"/>
      </w:pPr>
      <w:r>
        <w:t xml:space="preserve"/>
      </w:r>
    </w:p>
    <w:p>
      <w:pPr>
        <w:pStyle w:val="Heading3"/>
        <w:spacing w:after="80" w:before="200"/>
      </w:pPr>
      <w:r>
        <w:rPr>
          <w:rFonts w:ascii="Arial" w:cs="Arial" w:eastAsia="Arial" w:hAnsi="Arial"/>
          <w:b/>
          <w:bCs/>
          <w:color w:val="1F3864"/>
          <w:sz w:val="22"/>
          <w:szCs w:val="22"/>
        </w:rPr>
        <w:t xml:space="preserve">Desafio específico para o pipeline de RAG</w:t>
      </w:r>
    </w:p>
    <w:p>
      <w:pPr>
        <w:spacing w:after="80" w:before="80"/>
      </w:pPr>
      <w:r>
        <w:rPr>
          <w:rFonts w:ascii="Arial" w:cs="Arial" w:eastAsia="Arial" w:hAnsi="Arial"/>
          <w:color w:val="1A1A1A"/>
          <w:sz w:val="20"/>
          <w:szCs w:val="20"/>
        </w:rPr>
        <w:t xml:space="preserve">Documentos escaneados são imagens binárias — não há camada de texto extraível. A qualidade do OCR depende criticamente da resolução do scan (mínimo 300 DPI recomendado), do contraste, da inclinação e da presença de carimbos ou anotações manuscritas. OCR de baixa qualidade gera tokens corrompidos ('frete' vira 'fr3te', 'kg' vira 'kq') que prejudicam tanto o embedding quanto a geração.</w:t>
      </w:r>
    </w:p>
    <w:p>
      <w:pPr>
        <w:spacing w:after="0" w:before="120"/>
      </w:pPr>
      <w:r>
        <w:t xml:space="preserve"/>
      </w:r>
    </w:p>
    <w:p>
      <w:pPr>
        <w:pStyle w:val="Heading3"/>
        <w:spacing w:after="80" w:before="200"/>
      </w:pPr>
      <w:r>
        <w:rPr>
          <w:rFonts w:ascii="Arial" w:cs="Arial" w:eastAsia="Arial" w:hAnsi="Arial"/>
          <w:b/>
          <w:bCs/>
          <w:color w:val="1F3864"/>
          <w:sz w:val="22"/>
          <w:szCs w:val="22"/>
        </w:rPr>
        <w:t xml:space="preserve">Como isso afeta a qualidade das respostas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Degradação silenciosa do retrieval: </w:t>
      </w:r>
      <w:r>
        <w:rPr>
          <w:rFonts w:ascii="Arial" w:cs="Arial" w:eastAsia="Arial" w:hAnsi="Arial"/>
          <w:color w:val="1A1A1A"/>
          <w:sz w:val="20"/>
          <w:szCs w:val="20"/>
        </w:rPr>
        <w:t xml:space="preserve">um embedding gerado a partir de texto com erros de OCR fica em uma região semanticamente distante do embedding da query do usuário ('qual o procedimento de frete?'). O chunk correto não é recuperado, e o assistente responde 'não encontrei informação' — quando a informação existe.</w:t>
      </w:r>
    </w:p>
    <w:p>
      <w:pPr>
        <w:pStyle w:val="ListParagraph"/>
        <w:numPr>
          <w:ilvl w:val="0"/>
          <w:numId w:val="2"/>
        </w:numPr>
        <w:spacing w:after="60" w:before="60"/>
        <w:ind w:left="720" w:hanging="360"/>
      </w:pPr>
      <w:r>
        <w:rPr>
          <w:rFonts w:ascii="Arial" w:cs="Arial" w:eastAsia="Arial" w:hAnsi="Arial"/>
          <w:b/>
          <w:bCs/>
          <w:color w:val="1A1A1A"/>
          <w:sz w:val="20"/>
          <w:szCs w:val="20"/>
        </w:rPr>
        <w:t xml:space="preserve">Alucinações por contexto parcial: </w:t>
      </w:r>
      <w:r>
        <w:rPr>
          <w:rFonts w:ascii="Arial" w:cs="Arial" w:eastAsia="Arial" w:hAnsi="Arial"/>
          <w:color w:val="1A1A1A"/>
          <w:sz w:val="20"/>
          <w:szCs w:val="20"/>
        </w:rPr>
        <w:t xml:space="preserve">se o OCR recupera 70% do texto corretamente e 30% com erros, o LLM recebe um chunk semiplausível e pode completar os gaps de forma inventada, sem saber que o texto-fonte estava corrompido.</w:t>
      </w:r>
    </w:p>
    <w:p>
      <w:pPr>
        <w:spacing w:after="0" w:before="120"/>
      </w:pPr>
      <w:r>
        <w:t xml:space="preserve"/>
      </w:r>
    </w:p>
    <w:p>
      <w:pPr>
        <w:pStyle w:val="Heading3"/>
        <w:spacing w:after="80" w:before="200"/>
      </w:pPr>
      <w:r>
        <w:rPr>
          <w:rFonts w:ascii="Arial" w:cs="Arial" w:eastAsia="Arial" w:hAnsi="Arial"/>
          <w:b/>
          <w:bCs/>
          <w:color w:val="1F3864"/>
          <w:sz w:val="22"/>
          <w:szCs w:val="22"/>
        </w:rPr>
        <w:t xml:space="preserve">Estratégia de tratamento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Tesseract com pré-processamento de imagem: </w:t>
      </w:r>
      <w:r>
        <w:rPr>
          <w:rFonts w:ascii="Arial" w:cs="Arial" w:eastAsia="Arial" w:hAnsi="Arial"/>
          <w:color w:val="1A1A1A"/>
          <w:sz w:val="20"/>
          <w:szCs w:val="20"/>
        </w:rPr>
        <w:t xml:space="preserve">antes do OCR, aplicar deskew (correção de inclinação), binarização com limiar adaptativo e remoção de ruído. O Tesseract 5.x com modelo LSTM atinge 95%+ de acurácia em documentos empresariais bem escaneados.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Fallback para Azure Document Intelligence / Google Document AI: </w:t>
      </w:r>
      <w:r>
        <w:rPr>
          <w:rFonts w:ascii="Arial" w:cs="Arial" w:eastAsia="Arial" w:hAnsi="Arial"/>
          <w:color w:val="1A1A1A"/>
          <w:sz w:val="20"/>
          <w:szCs w:val="20"/>
        </w:rPr>
        <w:t xml:space="preserve">para documentos com qualidade de scan ruim, serviços de OCR baseados em modelos de visão modernos têm acurácia significativamente superior ao Tesseract, especialmente em tabelas escaneadas.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Score de confiança por página: </w:t>
      </w:r>
      <w:r>
        <w:rPr>
          <w:rFonts w:ascii="Arial" w:cs="Arial" w:eastAsia="Arial" w:hAnsi="Arial"/>
          <w:color w:val="1A1A1A"/>
          <w:sz w:val="20"/>
          <w:szCs w:val="20"/>
        </w:rPr>
        <w:t xml:space="preserve">o Tesseract retorna um score de confiança por palavra. Calcular a média por página e sinalizar automaticamente páginas com score &lt; 70 para revisão humana antes da indexação.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Post-processamento com correção contextual: </w:t>
      </w:r>
      <w:r>
        <w:rPr>
          <w:rFonts w:ascii="Arial" w:cs="Arial" w:eastAsia="Arial" w:hAnsi="Arial"/>
          <w:color w:val="1A1A1A"/>
          <w:sz w:val="20"/>
          <w:szCs w:val="20"/>
        </w:rPr>
        <w:t xml:space="preserve">usar um LLM com prompt específico para corrigir erros comuns de OCR em documentos de logística ('fr3te' → 'frete', 'SLfi' → 'SLA'). Executar sobre chunks com score de confiança intermediário (70-85%).</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Rastrear versão escaneada vs. digital: </w:t>
      </w:r>
      <w:r>
        <w:rPr>
          <w:rFonts w:ascii="Arial" w:cs="Arial" w:eastAsia="Arial" w:hAnsi="Arial"/>
          <w:color w:val="1A1A1A"/>
          <w:sz w:val="20"/>
          <w:szCs w:val="20"/>
        </w:rPr>
        <w:t xml:space="preserve">manter metadata de 'origem: OCR' e 'confiança_ocr: 0.87' para que o sistema possa priorizar versões digitais quando ambas existem.</w:t>
      </w:r>
    </w:p>
    <w:p>
      <w:pPr>
        <w:spacing w:after="0" w:before="24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1.3  Wiki do Confluence com Links Internos e Macros Customizadas</w:t>
      </w:r>
    </w:p>
    <w:p>
      <w:pPr>
        <w:spacing w:after="0" w:before="80"/>
      </w:pPr>
      <w:r>
        <w:t xml:space="preserve"/>
      </w:r>
    </w:p>
    <w:p>
      <w:pPr>
        <w:pStyle w:val="Heading3"/>
        <w:spacing w:after="80" w:before="200"/>
      </w:pPr>
      <w:r>
        <w:rPr>
          <w:rFonts w:ascii="Arial" w:cs="Arial" w:eastAsia="Arial" w:hAnsi="Arial"/>
          <w:b/>
          <w:bCs/>
          <w:color w:val="1F3864"/>
          <w:sz w:val="22"/>
          <w:szCs w:val="22"/>
        </w:rPr>
        <w:t xml:space="preserve">Desafio específico para o pipeline de RAG</w:t>
      </w:r>
    </w:p>
    <w:p>
      <w:pPr>
        <w:spacing w:after="80" w:before="80"/>
      </w:pPr>
      <w:r>
        <w:rPr>
          <w:rFonts w:ascii="Arial" w:cs="Arial" w:eastAsia="Arial" w:hAnsi="Arial"/>
          <w:color w:val="1A1A1A"/>
          <w:sz w:val="20"/>
          <w:szCs w:val="20"/>
        </w:rPr>
        <w:t xml:space="preserve">O Confluence exporta conteúdo em HTML ou via API REST. Os dois problemas centrais são: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Links internos sem contexto: </w:t>
      </w:r>
      <w:r>
        <w:rPr>
          <w:rFonts w:ascii="Arial" w:cs="Arial" w:eastAsia="Arial" w:hAnsi="Arial"/>
          <w:color w:val="1A1A1A"/>
          <w:sz w:val="20"/>
          <w:szCs w:val="20"/>
        </w:rPr>
        <w:t xml:space="preserve">uma página de política de devolução pode conter 'consulte as regras de elegibilidade [link]'. No pipeline de RAG, o chunk dessa página é indexado sem o conteúdo da página linkada. A resposta do assistente fica truncada exatamente no ponto onde o usuário mais precisa de informação.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Macros customizadas: </w:t>
      </w:r>
      <w:r>
        <w:rPr>
          <w:rFonts w:ascii="Arial" w:cs="Arial" w:eastAsia="Arial" w:hAnsi="Arial"/>
          <w:color w:val="1A1A1A"/>
          <w:sz w:val="20"/>
          <w:szCs w:val="20"/>
        </w:rPr>
        <w:t xml:space="preserve">macros como {warning}, {info}, {panel}, {expand} e tabelas dinâmicas geradas por macros de banco de dados não são convertidas para texto por exportadores padrão — elas aparecem como tags HTML vazias ou são omitidas silenciosamente.</w:t>
      </w:r>
    </w:p>
    <w:p>
      <w:pPr>
        <w:spacing w:after="0" w:before="120"/>
      </w:pPr>
      <w:r>
        <w:t xml:space="preserve"/>
      </w:r>
    </w:p>
    <w:p>
      <w:pPr>
        <w:pStyle w:val="Heading3"/>
        <w:spacing w:after="80" w:before="200"/>
      </w:pPr>
      <w:r>
        <w:rPr>
          <w:rFonts w:ascii="Arial" w:cs="Arial" w:eastAsia="Arial" w:hAnsi="Arial"/>
          <w:b/>
          <w:bCs/>
          <w:color w:val="1F3864"/>
          <w:sz w:val="22"/>
          <w:szCs w:val="22"/>
        </w:rPr>
        <w:t xml:space="preserve">Como isso afeta a qualidade das respostas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Respostas incompletas em procedimentos multi-página: </w:t>
      </w:r>
      <w:r>
        <w:rPr>
          <w:rFonts w:ascii="Arial" w:cs="Arial" w:eastAsia="Arial" w:hAnsi="Arial"/>
          <w:color w:val="1A1A1A"/>
          <w:sz w:val="20"/>
          <w:szCs w:val="20"/>
        </w:rPr>
        <w:t xml:space="preserve">os procedimentos de atendimento da NovaTech provavelmente são documentados em páginas interligadas. Se o RAG indexa cada página de forma isolada, perguntas que cruzam procedimentos ('qual o prazo após o cliente acionar a reclamação formalmente?') podem recuperar a página inicial do procedimento, que contém apenas a introdução — e não a resposta numérica que está na subpágina.</w:t>
      </w:r>
    </w:p>
    <w:p>
      <w:pPr>
        <w:pStyle w:val="ListParagraph"/>
        <w:numPr>
          <w:ilvl w:val="0"/>
          <w:numId w:val="2"/>
        </w:numPr>
        <w:spacing w:after="60" w:before="60"/>
        <w:ind w:left="720" w:hanging="360"/>
      </w:pPr>
      <w:r>
        <w:rPr>
          <w:rFonts w:ascii="Arial" w:cs="Arial" w:eastAsia="Arial" w:hAnsi="Arial"/>
          <w:b/>
          <w:bCs/>
          <w:color w:val="1A1A1A"/>
          <w:sz w:val="20"/>
          <w:szCs w:val="20"/>
        </w:rPr>
        <w:t xml:space="preserve">Conteúdo de alerta perdido: </w:t>
      </w:r>
      <w:r>
        <w:rPr>
          <w:rFonts w:ascii="Arial" w:cs="Arial" w:eastAsia="Arial" w:hAnsi="Arial"/>
          <w:color w:val="1A1A1A"/>
          <w:sz w:val="20"/>
          <w:szCs w:val="20"/>
        </w:rPr>
        <w:t xml:space="preserve">o conteúdo dentro de macros {warning} e {info} frequentemente contém exceções críticas às regras gerais ('exceto para carga refrigerada'). Se essas macros não são renderizadas, o assistente fornece a regra geral sem a exceção — potencialmente gerando uma instrução incorreta para a atendente.</w:t>
      </w:r>
    </w:p>
    <w:p>
      <w:pPr>
        <w:spacing w:after="0" w:before="120"/>
      </w:pPr>
      <w:r>
        <w:t xml:space="preserve"/>
      </w:r>
    </w:p>
    <w:p>
      <w:pPr>
        <w:pStyle w:val="Heading3"/>
        <w:spacing w:after="80" w:before="200"/>
      </w:pPr>
      <w:r>
        <w:rPr>
          <w:rFonts w:ascii="Arial" w:cs="Arial" w:eastAsia="Arial" w:hAnsi="Arial"/>
          <w:b/>
          <w:bCs/>
          <w:color w:val="1F3864"/>
          <w:sz w:val="22"/>
          <w:szCs w:val="22"/>
        </w:rPr>
        <w:t xml:space="preserve">Estratégia de tratamento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Ingestão via API REST do Confluence (não exportação HTML): </w:t>
      </w:r>
      <w:r>
        <w:rPr>
          <w:rFonts w:ascii="Arial" w:cs="Arial" w:eastAsia="Arial" w:hAnsi="Arial"/>
          <w:color w:val="1A1A1A"/>
          <w:sz w:val="20"/>
          <w:szCs w:val="20"/>
        </w:rPr>
        <w:t xml:space="preserve">a API retorna o corpo da página em formato Confluence Storage Format (XML estruturado), que preserva macros como elementos XML. Isso permite processamento específico por tipo de macro.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Resolução de links com grafo de dependências: </w:t>
      </w:r>
      <w:r>
        <w:rPr>
          <w:rFonts w:ascii="Arial" w:cs="Arial" w:eastAsia="Arial" w:hAnsi="Arial"/>
          <w:color w:val="1A1A1A"/>
          <w:sz w:val="20"/>
          <w:szCs w:val="20"/>
        </w:rPr>
        <w:t xml:space="preserve">antes de chunkar, construir um grafo de páginas onde arestas representam links internos. Para cada página, identificar se ela é referenciada por links críticos. Páginas com alto grau de referência entrada ('hub pages') devem ser indexadas com prioridade e com contexto expandido. </w:t>
      </w:r>
      <w:r>
        <w:rPr>
          <w:rFonts w:ascii="Arial" w:cs="Arial" w:eastAsia="Arial" w:hAnsi="Arial"/>
          <w:b/>
          <w:bCs/>
          <w:color w:val="C55A11"/>
          <w:sz w:val="20"/>
          <w:szCs w:val="20"/>
        </w:rPr>
        <w:t xml:space="preserve">Complexidade de implementação: </w:t>
      </w:r>
      <w:r>
        <w:rPr>
          <w:rFonts w:ascii="Arial" w:cs="Arial" w:eastAsia="Arial" w:hAnsi="Arial"/>
          <w:color w:val="1A1A1A"/>
          <w:sz w:val="20"/>
          <w:szCs w:val="20"/>
        </w:rPr>
        <w:t xml:space="preserve">a construção do grafo requer percurso recursivo de todos os links internos via API REST do Confluence, com tratamento específico de três casos: (1) </w:t>
      </w:r>
      <w:r>
        <w:rPr>
          <w:rFonts w:ascii="Arial" w:cs="Arial" w:eastAsia="Arial" w:hAnsi="Arial"/>
          <w:i/>
          <w:iCs/>
          <w:color w:val="1A1A1A"/>
          <w:sz w:val="20"/>
          <w:szCs w:val="20"/>
        </w:rPr>
        <w:t xml:space="preserve">rate limiting</w:t>
      </w:r>
      <w:r>
        <w:rPr>
          <w:rFonts w:ascii="Arial" w:cs="Arial" w:eastAsia="Arial" w:hAnsi="Arial"/>
          <w:color w:val="1A1A1A"/>
          <w:sz w:val="20"/>
          <w:szCs w:val="20"/>
        </w:rPr>
        <w:t xml:space="preserve"> da API (Confluence Cloud limita a 10 req/s — necessário backoff exponencial para varredura de 400 páginas); (2) páginas com permissão restrita que aparecem como links mas retornam 403, quebrando o grafo; (3) páginas órfãs sem referências de entrada, que devem ser indexadas individualmente sem contexto de hierarquia. </w:t>
      </w:r>
      <w:r>
        <w:rPr>
          <w:rFonts w:ascii="Arial" w:cs="Arial" w:eastAsia="Arial" w:hAnsi="Arial"/>
          <w:b/>
          <w:bCs/>
          <w:color w:val="2E5FA3"/>
          <w:sz w:val="20"/>
          <w:szCs w:val="20"/>
        </w:rPr>
        <w:t xml:space="preserve">Estimativa de esforço: </w:t>
      </w:r>
      <w:r>
        <w:rPr>
          <w:rFonts w:ascii="Arial" w:cs="Arial" w:eastAsia="Arial" w:hAnsi="Arial"/>
          <w:color w:val="1A1A1A"/>
          <w:sz w:val="20"/>
          <w:szCs w:val="20"/>
        </w:rPr>
        <w:t xml:space="preserve">este pré-processamento representa aproximadamente 3-5 dias de desenvolvimento — não é trivial e deve estar explicitamente no cronograma do spike técnico, não absorvido como overhead genérico de ingestão.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Estratégia de 'chunk pai + filhos': </w:t>
      </w:r>
      <w:r>
        <w:rPr>
          <w:rFonts w:ascii="Arial" w:cs="Arial" w:eastAsia="Arial" w:hAnsi="Arial"/>
          <w:color w:val="1A1A1A"/>
          <w:sz w:val="20"/>
          <w:szCs w:val="20"/>
        </w:rPr>
        <w:t xml:space="preserve">para páginas com muitos links internos, criar um chunk de alto nível que inclua o título e primeiro parágrafo de cada página filha linkada. Isso cria um 'mapa de navegação' indexável que permite ao retrieval encontrar o caminho até a informação correta.</w:t>
      </w:r>
    </w:p>
    <w:p>
      <w:pPr>
        <w:pStyle w:val="ListParagraph"/>
        <w:numPr>
          <w:ilvl w:val="0"/>
          <w:numId w:val="2"/>
        </w:numPr>
        <w:spacing w:after="60" w:before="60"/>
        <w:ind w:left="720" w:hanging="360"/>
      </w:pPr>
      <w:r>
        <w:rPr>
          <w:rFonts w:ascii="Arial" w:cs="Arial" w:eastAsia="Arial" w:hAnsi="Arial"/>
          <w:b/>
          <w:bCs/>
          <w:color w:val="1A1A1A"/>
          <w:sz w:val="20"/>
          <w:szCs w:val="20"/>
        </w:rPr>
        <w:t xml:space="preserve">Tratamento por tipo de macro: </w:t>
      </w:r>
      <w:r>
        <w:rPr>
          <w:rFonts w:ascii="Arial" w:cs="Arial" w:eastAsia="Arial" w:hAnsi="Arial"/>
          <w:color w:val="1A1A1A"/>
          <w:sz w:val="20"/>
          <w:szCs w:val="20"/>
        </w:rPr>
        <w:t xml:space="preserve">{warning}/{info}/{note} → extrair texto interno e prefixar com 'ATENÇÃO:' ou 'IMPORTANTE:' para que o embedding capture o peso semântico do alerta. {expand} → tratar o conteúdo colapsado como texto normal. Macros de banco de dados → verificar se há exportação estática disponível ou descartar com documentação da lacuna.</w:t>
      </w:r>
    </w:p>
    <w:p>
      <w:pPr>
        <w:spacing w:after="0" w:before="24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1.4  Planilhas XLSX com Fórmulas Interdependentes</w:t>
      </w:r>
    </w:p>
    <w:p>
      <w:pPr>
        <w:spacing w:after="0" w:before="80"/>
      </w:pPr>
      <w:r>
        <w:t xml:space="preserve"/>
      </w:r>
    </w:p>
    <w:p>
      <w:pPr>
        <w:pStyle w:val="Heading3"/>
        <w:spacing w:after="80" w:before="200"/>
      </w:pPr>
      <w:r>
        <w:rPr>
          <w:rFonts w:ascii="Arial" w:cs="Arial" w:eastAsia="Arial" w:hAnsi="Arial"/>
          <w:b/>
          <w:bCs/>
          <w:color w:val="1F3864"/>
          <w:sz w:val="22"/>
          <w:szCs w:val="22"/>
        </w:rPr>
        <w:t xml:space="preserve">Desafio específico para o pipeline de RAG</w:t>
      </w:r>
    </w:p>
    <w:p>
      <w:pPr>
        <w:spacing w:after="80" w:before="80"/>
      </w:pPr>
      <w:r>
        <w:rPr>
          <w:rFonts w:ascii="Arial" w:cs="Arial" w:eastAsia="Arial" w:hAnsi="Arial"/>
          <w:color w:val="1A1A1A"/>
          <w:sz w:val="20"/>
          <w:szCs w:val="20"/>
        </w:rPr>
        <w:t xml:space="preserve">Planilhas de referência têm dois problemas fundamentais para RAG:</w:t>
      </w:r>
    </w:p>
    <w:p>
      <w:pPr>
        <w:pStyle w:val="ListParagraph"/>
        <w:numPr>
          <w:ilvl w:val="0"/>
          <w:numId w:val="2"/>
        </w:numPr>
        <w:spacing w:after="60" w:before="60"/>
        <w:ind w:left="720" w:hanging="360"/>
      </w:pPr>
      <w:r>
        <w:rPr>
          <w:rFonts w:ascii="Arial" w:cs="Arial" w:eastAsia="Arial" w:hAnsi="Arial"/>
          <w:b/>
          <w:bCs/>
          <w:color w:val="1A1A1A"/>
          <w:sz w:val="20"/>
          <w:szCs w:val="20"/>
        </w:rPr>
        <w:t xml:space="preserve">Fórmulas não são dados: </w:t>
      </w:r>
      <w:r>
        <w:rPr>
          <w:rFonts w:ascii="Arial" w:cs="Arial" w:eastAsia="Arial" w:hAnsi="Arial"/>
          <w:color w:val="1A1A1A"/>
          <w:sz w:val="20"/>
          <w:szCs w:val="20"/>
        </w:rPr>
        <w:t xml:space="preserve">uma célula com '=SE(B2&gt;500;PROCV(C2;TabelaFrete;5;FALSO);TabelaFrete_Pequeno)' não contém o valor de frete — contém a lógica para calculá-lo. Indexar a fórmula em vez do valor é inútil para o assistente. Indexar o valor calculado sem a lógica pode gerar respostas corretas apenas no contexto das condições que produzem aquele valor.</w:t>
      </w:r>
    </w:p>
    <w:p>
      <w:pPr>
        <w:pStyle w:val="ListParagraph"/>
        <w:numPr>
          <w:ilvl w:val="0"/>
          <w:numId w:val="2"/>
        </w:numPr>
        <w:spacing w:after="60" w:before="60"/>
        <w:ind w:left="720" w:hanging="360"/>
      </w:pPr>
      <w:r>
        <w:rPr>
          <w:rFonts w:ascii="Arial" w:cs="Arial" w:eastAsia="Arial" w:hAnsi="Arial"/>
          <w:b/>
          <w:bCs/>
          <w:color w:val="1A1A1A"/>
          <w:sz w:val="20"/>
          <w:szCs w:val="20"/>
        </w:rPr>
        <w:t xml:space="preserve">Estrutura tabular não-linear: </w:t>
      </w:r>
      <w:r>
        <w:rPr>
          <w:rFonts w:ascii="Arial" w:cs="Arial" w:eastAsia="Arial" w:hAnsi="Arial"/>
          <w:color w:val="1A1A1A"/>
          <w:sz w:val="20"/>
          <w:szCs w:val="20"/>
        </w:rPr>
        <w:t xml:space="preserve">planilhas de cálculo de frete frequentemente têm abas interdependentes: a aba 'Parâmetros' alimenta a aba 'Tabela_Sul', que é referenciada pela aba 'Resumo'. Uma mudança mensal no 'Parâmetros' propaga automaticamente, mas o pipeline de RAG não entende essa cadeia de dependência.</w:t>
      </w:r>
    </w:p>
    <w:p>
      <w:pPr>
        <w:spacing w:after="0" w:before="120"/>
      </w:pPr>
      <w:r>
        <w:t xml:space="preserve"/>
      </w:r>
    </w:p>
    <w:p>
      <w:pPr>
        <w:pStyle w:val="Heading3"/>
        <w:spacing w:after="80" w:before="200"/>
      </w:pPr>
      <w:r>
        <w:rPr>
          <w:rFonts w:ascii="Arial" w:cs="Arial" w:eastAsia="Arial" w:hAnsi="Arial"/>
          <w:b/>
          <w:bCs/>
          <w:color w:val="1F3864"/>
          <w:sz w:val="22"/>
          <w:szCs w:val="22"/>
        </w:rPr>
        <w:t xml:space="preserve">Como isso afeta a qualidade das respostas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Respostas desatualizadas: </w:t>
      </w:r>
      <w:r>
        <w:rPr>
          <w:rFonts w:ascii="Arial" w:cs="Arial" w:eastAsia="Arial" w:hAnsi="Arial"/>
          <w:color w:val="1A1A1A"/>
          <w:sz w:val="20"/>
          <w:szCs w:val="20"/>
        </w:rPr>
        <w:t xml:space="preserve">se a planilha é atualizada mensalmente e o pipeline não reindexar após cada atualização, as respostas do assistente refletem os valores do mês anterior. Em logística, variações de frete por sazonalidade ou combustível são frequentes.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Respostas válidas apenas para um caso: </w:t>
      </w:r>
      <w:r>
        <w:rPr>
          <w:rFonts w:ascii="Arial" w:cs="Arial" w:eastAsia="Arial" w:hAnsi="Arial"/>
          <w:color w:val="1A1A1A"/>
          <w:sz w:val="20"/>
          <w:szCs w:val="20"/>
        </w:rPr>
        <w:t xml:space="preserve">se o valor indexado é o resultado de uma fórmula calculada para uma condição específica (ex: carga de 100 kg), o assistente pode retornar esse valor para uma query sobre carga de 800 kg — sendo tecnicamente incorreto.</w:t>
      </w:r>
    </w:p>
    <w:p>
      <w:pPr>
        <w:spacing w:after="0" w:before="120"/>
      </w:pPr>
      <w:r>
        <w:t xml:space="preserve"/>
      </w:r>
    </w:p>
    <w:p>
      <w:pPr>
        <w:pStyle w:val="Heading3"/>
        <w:spacing w:after="80" w:before="200"/>
      </w:pPr>
      <w:r>
        <w:rPr>
          <w:rFonts w:ascii="Arial" w:cs="Arial" w:eastAsia="Arial" w:hAnsi="Arial"/>
          <w:b/>
          <w:bCs/>
          <w:color w:val="1F3864"/>
          <w:sz w:val="22"/>
          <w:szCs w:val="22"/>
        </w:rPr>
        <w:t xml:space="preserve">Estratégia de tratamento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Materialização dos valores calculados via openpyxl: </w:t>
      </w:r>
      <w:r>
        <w:rPr>
          <w:rFonts w:ascii="Arial" w:cs="Arial" w:eastAsia="Arial" w:hAnsi="Arial"/>
          <w:color w:val="1A1A1A"/>
          <w:sz w:val="20"/>
          <w:szCs w:val="20"/>
        </w:rPr>
        <w:t xml:space="preserve">usar openpyxl com data_only=True para ler os valores calculados (não as fórmulas) da última vez que o arquivo foi salvo com cálculos atualizados. Isso captura o estado real da planilha.</w:t>
      </w:r>
    </w:p>
    <w:p>
      <w:pPr>
        <w:pStyle w:val="ListParagraph"/>
        <w:numPr>
          <w:ilvl w:val="0"/>
          <w:numId w:val="2"/>
        </w:numPr>
        <w:spacing w:after="60" w:before="60"/>
        <w:ind w:left="720" w:hanging="360"/>
      </w:pPr>
      <w:r>
        <w:rPr>
          <w:rFonts w:ascii="Arial" w:cs="Arial" w:eastAsia="Arial" w:hAnsi="Arial"/>
          <w:b/>
          <w:bCs/>
          <w:color w:val="1A1A1A"/>
          <w:sz w:val="20"/>
          <w:szCs w:val="20"/>
        </w:rPr>
        <w:t xml:space="preserve">Para tabelas de lookup: serialização linha-por-linha com cabeçalhos: </w:t>
      </w:r>
      <w:r>
        <w:rPr>
          <w:rFonts w:ascii="Arial" w:cs="Arial" w:eastAsia="Arial" w:hAnsi="Arial"/>
          <w:color w:val="1A1A1A"/>
          <w:sz w:val="20"/>
          <w:szCs w:val="20"/>
        </w:rPr>
        <w:t xml:space="preserve">idêntico à estratégia de tabelas em PDF. Cada linha vira um chunk: 'Região: Sul | Tipo: Carga Seca | Peso: 500-999 kg | Prazo: 3 dias | Frete Base: R$ 4,20/kg'.</w:t>
      </w:r>
    </w:p>
    <w:p>
      <w:pPr>
        <w:pStyle w:val="ListParagraph"/>
        <w:numPr>
          <w:ilvl w:val="0"/>
          <w:numId w:val="2"/>
        </w:numPr>
        <w:spacing w:after="60" w:before="60"/>
        <w:ind w:left="720" w:hanging="360"/>
      </w:pPr>
      <w:r>
        <w:rPr>
          <w:rFonts w:ascii="Arial" w:cs="Arial" w:eastAsia="Arial" w:hAnsi="Arial"/>
          <w:b/>
          <w:bCs/>
          <w:color w:val="1A1A1A"/>
          <w:sz w:val="20"/>
          <w:szCs w:val="20"/>
        </w:rPr>
        <w:t xml:space="preserve">Para planilhas com lógica condicional: </w:t>
      </w:r>
      <w:r>
        <w:rPr>
          <w:rFonts w:ascii="Arial" w:cs="Arial" w:eastAsia="Arial" w:hAnsi="Arial"/>
          <w:color w:val="1A1A1A"/>
          <w:sz w:val="20"/>
          <w:szCs w:val="20"/>
        </w:rPr>
        <w:t xml:space="preserve">criar uma descrição textual da regra de negócio a partir das fórmulas. Esta etapa pode usar um LLM com o prompt: 'Dado este conjunto de fórmulas Excel, descreva em português as regras de negócio que elas implementam.' O texto resultante é indexado, não a fórmula.</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Reindexação automática mensal com controle de versão: </w:t>
      </w:r>
      <w:r>
        <w:rPr>
          <w:rFonts w:ascii="Arial" w:cs="Arial" w:eastAsia="Arial" w:hAnsi="Arial"/>
          <w:color w:val="1A1A1A"/>
          <w:sz w:val="20"/>
          <w:szCs w:val="20"/>
        </w:rPr>
        <w:t xml:space="preserve">implementar um job agendado que detecta alterações nas planilhas da pasta de rede (por hash MD5 do arquivo), reindexar automaticamente e manter log de versão para auditoria.</w:t>
      </w:r>
    </w:p>
    <w:p>
      <w:pPr>
        <w:spacing w:after="80" w:before="160"/>
        <w:pBdr>
          <w:left w:val="single" w:sz="12" w:space="8" w:color="C55A11"/>
        </w:pBdr>
        <w:ind w:left="280"/>
      </w:pPr>
      <w:r>
        <w:rPr>
          <w:rFonts w:ascii="Arial" w:cs="Arial" w:eastAsia="Arial" w:hAnsi="Arial"/>
          <w:b/>
          <w:bCs/>
          <w:color w:val="C55A11"/>
          <w:sz w:val="20"/>
          <w:szCs w:val="20"/>
        </w:rPr>
        <w:t xml:space="preserve">Limitação conhecida: </w:t>
      </w:r>
      <w:r>
        <w:rPr>
          <w:rFonts w:ascii="Arial" w:cs="Arial" w:eastAsia="Arial" w:hAnsi="Arial"/>
          <w:color w:val="1A1A1A"/>
          <w:sz w:val="20"/>
          <w:szCs w:val="20"/>
        </w:rPr>
        <w:t xml:space="preserve">queries que exigem cálculo de valor exato de frete para peso específico (ex: 743 kg) não podem ser respondidas com precisão pelo assistente baseado em RAG, pois o pipeline indexa valores de tabela por faixa, não executa cálculos. Nestes casos, o assistente informará a faixa de referência e indicará a planilha-fonte. Esta é uma </w:t>
      </w:r>
      <w:r>
        <w:rPr>
          <w:rFonts w:ascii="Arial" w:cs="Arial" w:eastAsia="Arial" w:hAnsi="Arial"/>
          <w:b/>
          <w:bCs/>
          <w:color w:val="1A1A1A"/>
          <w:sz w:val="20"/>
          <w:szCs w:val="20"/>
        </w:rPr>
        <w:t xml:space="preserve">limitação intrínseca da abordagem RAG para dados numéricos contínuos</w:t>
      </w:r>
      <w:r>
        <w:rPr>
          <w:rFonts w:ascii="Arial" w:cs="Arial" w:eastAsia="Arial" w:hAnsi="Arial"/>
          <w:color w:val="1A1A1A"/>
          <w:sz w:val="20"/>
          <w:szCs w:val="20"/>
        </w:rPr>
        <w:t xml:space="preserve"> — resolvível apenas com integração a um motor de cálculo externo, fora do escopo desta fase.</w:t>
      </w:r>
    </w:p>
    <w:p>
      <w:pPr>
        <w:spacing w:after="0" w:before="240"/>
      </w:pPr>
      <w:r>
        <w:t xml:space="preserve"/>
      </w:r>
    </w:p>
    <w:p>
      <w:r>
        <w:br w:type="page"/>
      </w:r>
    </w:p>
    <w:p>
      <w:pPr>
        <w:pStyle w:val="Heading1"/>
        <w:spacing w:before="360" w:after="120"/>
      </w:pPr>
      <w:r>
        <w:rPr>
          <w:rFonts w:ascii="Arial" w:cs="Arial" w:eastAsia="Arial" w:hAnsi="Arial"/>
          <w:b/>
          <w:bCs/>
          <w:color w:val="1F3864"/>
          <w:sz w:val="32"/>
          <w:szCs w:val="32"/>
        </w:rPr>
        <w:t>2  Estimativa do Tamanho Total da Base em Tokens</w:t>
      </w:r>
    </w:p>
    <w:p>
      <w:pPr>
        <w:spacing w:before="80" w:after="80"/>
      </w:pPr>
      <w:r>
        <w:rPr>
          <w:rFonts w:ascii="Arial" w:cs="Arial" w:eastAsia="Arial" w:hAnsi="Arial"/>
          <w:color w:val="1A1A1A"/>
          <w:sz w:val="20"/>
          <w:szCs w:val="20"/>
        </w:rPr>
        <w:t xml:space="preserve">A estimativa utiliza a regra prática de </w:t>
      </w:r>
      <w:r>
        <w:rPr>
          <w:rFonts w:ascii="Arial" w:cs="Arial" w:eastAsia="Arial" w:hAnsi="Arial"/>
          <w:b/>
          <w:bCs/>
          <w:color w:val="1A1A1A"/>
          <w:sz w:val="20"/>
          <w:szCs w:val="20"/>
        </w:rPr>
        <w:t>0,75 palavras por token</w:t>
      </w:r>
      <w:r>
        <w:rPr>
          <w:rFonts w:ascii="Arial" w:cs="Arial" w:eastAsia="Arial" w:hAnsi="Arial"/>
          <w:color w:val="1A1A1A"/>
          <w:sz w:val="20"/>
          <w:szCs w:val="20"/>
        </w:rPr>
        <w:t xml:space="preserve"> (equivalente a ~1,33 tokens por palavra), consistente com o tokenizador tiktoken do GPT-4o para português. Os valores de palavras por página e por linha serializada foram revisados para refletir a densidade real de documentação técnica de logística.</w:t>
      </w:r>
    </w:p>
    <w:p>
      <w:pPr>
        <w:spacing w:before="16" w:after="0"/>
      </w:pPr>
      <w:r>
        <w:t/>
      </w:r>
    </w:p>
    <w:p>
      <w:pPr>
        <w:pStyle w:val="Heading2"/>
        <w:pBdr>
          <w:bottom w:val="single" w:sz="4" w:space="4" w:color="2E5FA3"/>
        </w:pBdr>
        <w:spacing w:before="280" w:after="100"/>
      </w:pPr>
      <w:r>
        <w:rPr>
          <w:rFonts w:ascii="Arial" w:cs="Arial" w:eastAsia="Arial" w:hAnsi="Arial"/>
          <w:b/>
          <w:bCs/>
          <w:color w:val="2E5FA3"/>
          <w:sz w:val="26"/>
          <w:szCs w:val="26"/>
        </w:rPr>
        <w:t>2.1  Memória de Cálculo por Fonte</w:t>
      </w:r>
    </w:p>
    <w:p>
      <w:pPr>
        <w:spacing w:before="8" w:after="0"/>
      </w:pPr>
      <w:r>
        <w:t/>
      </w:r>
    </w:p>
    <w:p>
      <w:pPr>
        <w:pStyle w:val="Heading3"/>
        <w:spacing w:before="200" w:after="80"/>
      </w:pPr>
      <w:r>
        <w:rPr>
          <w:rFonts w:ascii="Arial" w:cs="Arial" w:eastAsia="Arial" w:hAnsi="Arial"/>
          <w:b/>
          <w:bCs/>
          <w:color w:val="1F3864"/>
          <w:sz w:val="22"/>
          <w:szCs w:val="22"/>
        </w:rPr>
        <w:t>PDFs do SharePoint (~800 documentos)</w:t>
      </w:r>
    </w:p>
    <w:p>
      <w:pPr>
        <w:spacing w:before="80" w:after="80"/>
      </w:pPr>
      <w:r>
        <w:rPr>
          <w:rFonts w:ascii="Arial" w:cs="Arial" w:eastAsia="Arial" w:hAnsi="Arial"/>
          <w:color w:val="1A1A1A"/>
          <w:sz w:val="20"/>
          <w:szCs w:val="20"/>
        </w:rPr>
        <w:t xml:space="preserve">Documentos técnicos de logística — manuais de procedimento operacional, tabelas de SLA, normas de compliance — são notoriamente densos. Uma página A4 em corpo 11-12pt com texto corrido atinge facilmente 500-600 palavras. Documentos com tabelas reduzem esse número, mas o mix da NovaTech (manuais narrativos + tabelas) posiciona a média em </w:t>
      </w:r>
      <w:r>
        <w:rPr>
          <w:rFonts w:ascii="Arial" w:cs="Arial" w:eastAsia="Arial" w:hAnsi="Arial"/>
          <w:b/>
          <w:bCs/>
          <w:color w:val="1A1A1A"/>
          <w:sz w:val="20"/>
          <w:szCs w:val="20"/>
        </w:rPr>
        <w:t>500 palavras/página</w:t>
      </w:r>
      <w:r>
        <w:rPr>
          <w:rFonts w:ascii="Arial" w:cs="Arial" w:eastAsia="Arial" w:hAnsi="Arial"/>
          <w:color w:val="1A1A1A"/>
          <w:sz w:val="20"/>
          <w:szCs w:val="20"/>
        </w:rPr>
        <w:t xml:space="preserve"> como valor central conservador da faixa real.</w:t>
      </w:r>
    </w:p>
    <w:p>
      <w:pPr>
        <w:spacing w:before="12" w:after="0"/>
      </w:pPr>
      <w:r>
        <w:t/>
      </w:r>
    </w:p>
    <w:tbl>
      <w:tblPr>
        <w:tblW w:w="9360" w:type="dxa"/>
        <w:tblLayout w:type="fixed"/>
        <w:tblCellMar>
          <w:top w:w="80" w:type="dxa"/>
          <w:bottom w:w="80" w:type="dxa"/>
          <w:left w:w="120" w:type="dxa"/>
          <w:right w:w="120" w:type="dxa"/>
        </w:tblCellMar>
      </w:tblPr>
      <w:tblGrid>
        <w:gridCol w:w="2800"/>
        <w:gridCol w:w="2400"/>
        <w:gridCol w:w="4160"/>
      </w:tblGrid>
      <w:tr>
        <w:tc>
          <w:tcPr>
            <w:tcW w:w="28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Parâmetro</w:t>
            </w:r>
          </w:p>
        </w:tc>
        <w:tc>
          <w:tcPr>
            <w:tcW w:w="24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Valor</w:t>
            </w:r>
          </w:p>
        </w:tc>
        <w:tc>
          <w:tcPr>
            <w:tcW w:w="416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Memória de Cálculo</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Número de documentos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800</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Páginas por documento (média)</w:t>
            </w:r>
          </w:p>
        </w:tc>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10</w:t>
            </w:r>
          </w:p>
        </w:tc>
        <w:tc>
          <w:tcPr>
            <w:tcW w:w="41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Total de páginas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8.000</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800 × 10</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Palavras por página (média)</w:t>
            </w:r>
          </w:p>
        </w:tc>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500</w:t>
            </w:r>
          </w:p>
        </w:tc>
        <w:tc>
          <w:tcPr>
            <w:tcW w:w="41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Faixa real: 350 (páginas de tabela pura) a 600 (manuais narrativos). 500 é o valor central. Revisado de 400 — ver justificativa acima.</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Total de palavras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4.000.000</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8.000 × 500</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Total de tokens (base bruta)</w:t>
            </w:r>
          </w:p>
        </w:tc>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~5.333.000</w:t>
            </w:r>
          </w:p>
        </w:tc>
        <w:tc>
          <w:tcPr>
            <w:tcW w:w="41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4.000.000 ÷ 0,75</w:t>
            </w:r>
          </w:p>
        </w:tc>
      </w:tr>
    </w:tbl>
    <w:p>
      <w:pPr>
        <w:spacing w:before="20" w:after="0"/>
      </w:pPr>
      <w:r>
        <w:t/>
      </w:r>
    </w:p>
    <w:p>
      <w:pPr>
        <w:pStyle w:val="Heading3"/>
        <w:spacing w:before="200" w:after="80"/>
      </w:pPr>
      <w:r>
        <w:rPr>
          <w:rFonts w:ascii="Arial" w:cs="Arial" w:eastAsia="Arial" w:hAnsi="Arial"/>
          <w:b/>
          <w:bCs/>
          <w:color w:val="1F3864"/>
          <w:sz w:val="22"/>
          <w:szCs w:val="22"/>
        </w:rPr>
        <w:t>Wiki do Confluence (~400 páginas)</w:t>
      </w:r>
    </w:p>
    <w:tbl>
      <w:tblPr>
        <w:tblW w:w="9360" w:type="dxa"/>
        <w:tblLayout w:type="fixed"/>
        <w:tblCellMar>
          <w:top w:w="80" w:type="dxa"/>
          <w:bottom w:w="80" w:type="dxa"/>
          <w:left w:w="120" w:type="dxa"/>
          <w:right w:w="120" w:type="dxa"/>
        </w:tblCellMar>
      </w:tblPr>
      <w:tblGrid>
        <w:gridCol w:w="2800"/>
        <w:gridCol w:w="2400"/>
        <w:gridCol w:w="4160"/>
      </w:tblGrid>
      <w:tr>
        <w:tc>
          <w:tcPr>
            <w:tcW w:w="28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Parâmetro</w:t>
            </w:r>
          </w:p>
        </w:tc>
        <w:tc>
          <w:tcPr>
            <w:tcW w:w="24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Valor</w:t>
            </w:r>
          </w:p>
        </w:tc>
        <w:tc>
          <w:tcPr>
            <w:tcW w:w="416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Memória de Cálculo</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Número de páginas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400</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Palavras por página (média)</w:t>
            </w:r>
          </w:p>
        </w:tc>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1.500</w:t>
            </w:r>
          </w:p>
        </w:tc>
        <w:tc>
          <w:tcPr>
            <w:tcW w:w="41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Conforme especificação do projeto</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Total de palavras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600.000</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400 × 1.500</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Total de tokens (base bruta)</w:t>
            </w:r>
          </w:p>
        </w:tc>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~800.000</w:t>
            </w:r>
          </w:p>
        </w:tc>
        <w:tc>
          <w:tcPr>
            <w:tcW w:w="41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600.000 ÷ 0,75</w:t>
            </w:r>
          </w:p>
        </w:tc>
      </w:tr>
    </w:tbl>
    <w:p>
      <w:pPr>
        <w:spacing w:before="20" w:after="0"/>
      </w:pPr>
      <w:r>
        <w:t/>
      </w:r>
    </w:p>
    <w:p>
      <w:pPr>
        <w:pStyle w:val="Heading3"/>
        <w:spacing w:before="200" w:after="80"/>
      </w:pPr>
      <w:r>
        <w:rPr>
          <w:rFonts w:ascii="Arial" w:cs="Arial" w:eastAsia="Arial" w:hAnsi="Arial"/>
          <w:b/>
          <w:bCs/>
          <w:color w:val="1F3864"/>
          <w:sz w:val="22"/>
          <w:szCs w:val="22"/>
        </w:rPr>
        <w:t>Planilhas XLSX (~50 arquivos)</w:t>
      </w:r>
    </w:p>
    <w:p>
      <w:pPr>
        <w:spacing w:before="80" w:after="80"/>
      </w:pPr>
      <w:r>
        <w:rPr>
          <w:rFonts w:ascii="Arial" w:cs="Arial" w:eastAsia="Arial" w:hAnsi="Arial"/>
          <w:color w:val="1A1A1A"/>
          <w:sz w:val="20"/>
          <w:szCs w:val="20"/>
        </w:rPr>
        <w:t>A estimativa anterior de 30 palavras por linha serializada foi revisada. Uma linha de tabela de frete com 15 colunas, após serialização com cabeçalhos explícitos, produz strings como:</w:t>
      </w:r>
    </w:p>
    <w:p>
      <w:pPr>
        <w:spacing w:before="8" w:after="0"/>
      </w:pPr>
      <w:r>
        <w:t/>
      </w:r>
    </w:p>
    <w:tbl>
      <w:tblPr>
        <w:tblW w:w="9360" w:type="dxa"/>
        <w:tblLayout w:type="fixed"/>
      </w:tblPr>
      <w:tblGrid>
        <w:gridCol w:w="9360"/>
      </w:tblGrid>
      <w:tr>
        <w:tc>
          <w:tcPr>
            <w:tcW w:w="9360" w:type="dxa"/>
            <w:tcBorders>
              <w:top w:val="single" w:sz="4" w:space="0" w:color="2E5FA3"/>
              <w:left w:val="single" w:sz="4" w:space="0" w:color="2E5FA3"/>
              <w:bottom w:val="single" w:sz="4" w:space="0" w:color="2E5FA3"/>
              <w:right w:val="single" w:sz="4" w:space="0" w:color="2E5FA3"/>
            </w:tcBorders>
            <w:shd w:val="clear" w:color="auto" w:fill="F0F7F0"/>
            <w:tcMar>
              <w:top w:w="120" w:type="dxa"/>
              <w:bottom w:w="120" w:type="dxa"/>
              <w:left w:w="160" w:type="dxa"/>
              <w:right w:w="160" w:type="dxa"/>
            </w:tcMar>
          </w:tcPr>
          <w:p>
            <w:pPr>
              <w:spacing w:before="0" w:after="80"/>
            </w:pPr>
            <w:r>
              <w:rPr>
                <w:rFonts w:ascii="Arial" w:cs="Arial" w:eastAsia="Arial" w:hAnsi="Arial"/>
                <w:b/>
                <w:bCs/>
                <w:color w:val="1F3864"/>
                <w:sz w:val="20"/>
                <w:szCs w:val="20"/>
              </w:rPr>
              <w:t>Exemplo de linha serializada (15 colunas)</w:t>
            </w:r>
          </w:p>
          <w:p>
            <w:pPr>
              <w:spacing w:before="80" w:after="80"/>
            </w:pPr>
            <w:r>
              <w:rPr>
                <w:rFonts w:ascii="Arial" w:cs="Arial" w:eastAsia="Arial" w:hAnsi="Arial"/>
                <w:i/>
                <w:iCs/>
                <w:color w:val="2E5FA3"/>
                <w:sz w:val="18"/>
                <w:szCs w:val="18"/>
              </w:rPr>
              <w:t>Região: Sul | UF: PR, SC, RS | Perfil: Gold | Tipo: Seca | Faixa de Peso: 500-999 kg | Prazo Padrão: 3 dias úteis | Prazo Expresso: 1 dia útil | Frete Base: R$ 4,20/kg | Taxa Mínima: R$ 85,00 | Seguro: Não | ICMS: 12% | Margem: 8% | Coleta: Inclusa | Entrega: Porteira | Restrição: Nenhuma</w:t>
            </w:r>
          </w:p>
          <w:p>
            <w:pPr>
              <w:spacing w:before="80" w:after="80"/>
            </w:pPr>
            <w:r>
              <w:rPr>
                <w:rFonts w:ascii="Arial" w:cs="Arial" w:eastAsia="Arial" w:hAnsi="Arial"/>
                <w:color w:val="595959"/>
                <w:sz w:val="18"/>
                <w:szCs w:val="18"/>
              </w:rPr>
              <w:t xml:space="preserve">Esta string contém aproximadamente </w:t>
            </w:r>
            <w:r>
              <w:rPr>
                <w:rFonts w:ascii="Arial" w:cs="Arial" w:eastAsia="Arial" w:hAnsi="Arial"/>
                <w:b/>
                <w:bCs/>
                <w:color w:val="1F3864"/>
                <w:sz w:val="18"/>
                <w:szCs w:val="18"/>
              </w:rPr>
              <w:t>55 palavras</w:t>
            </w:r>
            <w:r>
              <w:rPr>
                <w:rFonts w:ascii="Arial" w:cs="Arial" w:eastAsia="Arial" w:hAnsi="Arial"/>
                <w:color w:val="595959"/>
                <w:sz w:val="18"/>
                <w:szCs w:val="18"/>
              </w:rPr>
              <w:t xml:space="preserve"> — não 30. O valor de 30 subestimava em ~45% o token count real por linha.</w:t>
            </w:r>
          </w:p>
        </w:tc>
      </w:tr>
    </w:tbl>
    <w:p>
      <w:pPr>
        <w:spacing w:before="16" w:after="0"/>
      </w:pPr>
      <w:r>
        <w:t/>
      </w:r>
    </w:p>
    <w:tbl>
      <w:tblPr>
        <w:tblW w:w="9360" w:type="dxa"/>
        <w:tblLayout w:type="fixed"/>
        <w:tblCellMar>
          <w:top w:w="80" w:type="dxa"/>
          <w:bottom w:w="80" w:type="dxa"/>
          <w:left w:w="120" w:type="dxa"/>
          <w:right w:w="120" w:type="dxa"/>
        </w:tblCellMar>
      </w:tblPr>
      <w:tblGrid>
        <w:gridCol w:w="2800"/>
        <w:gridCol w:w="2400"/>
        <w:gridCol w:w="4160"/>
      </w:tblGrid>
      <w:tr>
        <w:tc>
          <w:tcPr>
            <w:tcW w:w="28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Parâmetro</w:t>
            </w:r>
          </w:p>
        </w:tc>
        <w:tc>
          <w:tcPr>
            <w:tcW w:w="24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Valor</w:t>
            </w:r>
          </w:p>
        </w:tc>
        <w:tc>
          <w:tcPr>
            <w:tcW w:w="416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Memória de Cálculo</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Número de planilhas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50</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Linhas de dados por planilha (todas as abas)</w:t>
            </w:r>
          </w:p>
        </w:tc>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~450</w:t>
            </w:r>
          </w:p>
        </w:tc>
        <w:tc>
          <w:tcPr>
            <w:tcW w:w="41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50 linhas params + 4 abas × 100 linhas/aba</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Palavras por linha serializada</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55</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Revisado de 30. Ver exemplo acima. Tabelas com 15 colunas geram strings longas quando serializadas com cabeçalhos explícitos.</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Total de palavras</w:t>
            </w:r>
          </w:p>
        </w:tc>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1.237.500</w:t>
            </w:r>
          </w:p>
        </w:tc>
        <w:tc>
          <w:tcPr>
            <w:tcW w:w="41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50 × 450 × 55</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Total de tokens (base bruta)</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~1.650.000</w:t>
            </w:r>
          </w:p>
        </w:tc>
        <w:tc>
          <w:tcPr>
            <w:tcW w:w="41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1.237.500 ÷ 0,75</w:t>
            </w:r>
          </w:p>
        </w:tc>
      </w:tr>
    </w:tbl>
    <w:p>
      <w:pPr>
        <w:spacing w:before="24" w:after="0"/>
      </w:pPr>
      <w:r>
        <w:t/>
      </w:r>
    </w:p>
    <w:p>
      <w:pPr>
        <w:pStyle w:val="Heading2"/>
        <w:pBdr>
          <w:bottom w:val="single" w:sz="4" w:space="4" w:color="2E5FA3"/>
        </w:pBdr>
        <w:spacing w:before="280" w:after="100"/>
      </w:pPr>
      <w:r>
        <w:rPr>
          <w:rFonts w:ascii="Arial" w:cs="Arial" w:eastAsia="Arial" w:hAnsi="Arial"/>
          <w:b/>
          <w:bCs/>
          <w:color w:val="2E5FA3"/>
          <w:sz w:val="26"/>
          <w:szCs w:val="26"/>
        </w:rPr>
        <w:t>2.2  Decomposição do Overhead de Indexação</w:t>
      </w:r>
    </w:p>
    <w:p>
      <w:pPr>
        <w:spacing w:before="8" w:after="0"/>
      </w:pPr>
      <w:r>
        <w:t/>
      </w:r>
    </w:p>
    <w:p>
      <w:pPr>
        <w:spacing w:before="80" w:after="80"/>
      </w:pPr>
      <w:r>
        <w:rPr>
          <w:rFonts w:ascii="Arial" w:cs="Arial" w:eastAsia="Arial" w:hAnsi="Arial"/>
          <w:color w:val="1A1A1A"/>
          <w:sz w:val="20"/>
          <w:szCs w:val="20"/>
        </w:rPr>
        <w:t>A estimativa anterior aplicava um fator de overhead de 60% sem decomposição metodológica. Este valor foi substituído por uma decomposição por componente, calculada sobre a base bruta total de ~7,8M tokens.</w:t>
      </w:r>
    </w:p>
    <w:p>
      <w:pPr>
        <w:spacing w:before="16" w:after="0"/>
      </w:pPr>
      <w:r>
        <w:t/>
      </w:r>
    </w:p>
    <w:tbl>
      <w:tblPr>
        <w:tblW w:w="9360" w:type="dxa"/>
        <w:tblLayout w:type="fixed"/>
        <w:tblCellMar>
          <w:top w:w="80" w:type="dxa"/>
          <w:bottom w:w="80" w:type="dxa"/>
          <w:left w:w="120" w:type="dxa"/>
          <w:right w:w="120" w:type="dxa"/>
        </w:tblCellMar>
      </w:tblPr>
      <w:tblGrid>
        <w:gridCol w:w="2400"/>
        <w:gridCol w:w="1400"/>
        <w:gridCol w:w="2200"/>
        <w:gridCol w:w="3360"/>
      </w:tblGrid>
      <w:tr>
        <w:tc>
          <w:tcPr>
            <w:tcW w:w="24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Componente de overhead</w:t>
            </w:r>
          </w:p>
        </w:tc>
        <w:tc>
          <w:tcPr>
            <w:tcW w:w="14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Fator aplicado</w:t>
            </w:r>
          </w:p>
        </w:tc>
        <w:tc>
          <w:tcPr>
            <w:tcW w:w="22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Tokens adicionais (sobre ~7,8M base)</w:t>
            </w:r>
          </w:p>
        </w:tc>
        <w:tc>
          <w:tcPr>
            <w:tcW w:w="336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Justificativa</w:t>
            </w:r>
          </w:p>
        </w:tc>
      </w:tr>
      <w:tr>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Metadados por chunk (nome do arquivo, página, seção, data de indexação)</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+5%</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~390.000</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Cada chunk recebe ~25 tokens de metadados. Com chunks de 500 tokens, isso representa ~5% do volume total indexado.</w:t>
            </w:r>
          </w:p>
        </w:tc>
      </w:tr>
      <w:tr>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Repetição de cabeçalhos de tabela em cada chunk de linha</w:t>
            </w:r>
          </w:p>
        </w:tc>
        <w:tc>
          <w:tcPr>
            <w:tcW w:w="1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+10%</w:t>
            </w:r>
          </w:p>
        </w:tc>
        <w:tc>
          <w:tcPr>
            <w:tcW w:w="22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~780.000</w:t>
            </w:r>
          </w:p>
        </w:tc>
        <w:tc>
          <w:tcPr>
            <w:tcW w:w="33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Chunks de linha de tabela repetem o cabeçalho completo (~50 tokens) em cada um dos ~80 chunks por tabela. Impacto maior nas planilhas e PDFs tabulares.</w:t>
            </w:r>
          </w:p>
        </w:tc>
      </w:tr>
      <w:tr>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Overlap entre chunks adjacentes (100-150 tokens por fronteira, conforme Seção 4)</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+12%</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~936.000</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Overlap de ~120 tokens em cada fronteira de chunk. Para ~65.000 chunks estimados na base, o overlap representa ~12% do volume total.</w:t>
            </w:r>
          </w:p>
        </w:tc>
      </w:tr>
      <w:tr>
        <w:tc>
          <w:tcPr>
            <w:tcW w:w="2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Duplicatas parciais PDF-Wiki (mesmo conteúdo publicado nas duas fontes)</w:t>
            </w:r>
          </w:p>
        </w:tc>
        <w:tc>
          <w:tcPr>
            <w:tcW w:w="14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+8%</w:t>
            </w:r>
          </w:p>
        </w:tc>
        <w:tc>
          <w:tcPr>
            <w:tcW w:w="22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~624.000</w:t>
            </w:r>
          </w:p>
        </w:tc>
        <w:tc>
          <w:tcPr>
            <w:tcW w:w="336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Estimativa conservadora: ~10-15% dos documentos do SharePoint têm conteúdo espelhado na wiki. Assume-se deduplicação parcial por hash de chunk, não completa.</w:t>
            </w:r>
          </w:p>
        </w:tc>
      </w:tr>
      <w:tr>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b/>
                <w:bCs/>
                <w:color w:val="1A1A1A"/>
                <w:sz w:val="18"/>
                <w:szCs w:val="18"/>
              </w:rPr>
              <w:t>Total de overhead estimado</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b/>
                <w:bCs/>
                <w:color w:val="C55A11"/>
                <w:sz w:val="18"/>
                <w:szCs w:val="18"/>
              </w:rPr>
              <w:t>+35%</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b/>
                <w:bCs/>
                <w:color w:val="1A1A1A"/>
                <w:sz w:val="18"/>
                <w:szCs w:val="18"/>
              </w:rPr>
              <w:t>~2.730.000</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Soma dos componentes acima. Significativamente menor que o fator de 60% anterior, que carecia de base metodológica.</w:t>
            </w:r>
          </w:p>
        </w:tc>
      </w:tr>
    </w:tbl>
    <w:p>
      <w:pPr>
        <w:spacing w:before="20" w:after="0"/>
      </w:pPr>
      <w:r>
        <w:t/>
      </w:r>
    </w:p>
    <w:tbl>
      <w:tblPr>
        <w:tblW w:w="9360" w:type="dxa"/>
        <w:tblLayout w:type="fixed"/>
      </w:tblPr>
      <w:tblGrid>
        <w:gridCol w:w="9360"/>
      </w:tblGrid>
      <w:tr>
        <w:tc>
          <w:tcPr>
            <w:tcW w:w="9360" w:type="dxa"/>
            <w:tcBorders>
              <w:top w:val="single" w:sz="4" w:space="0" w:color="2E5FA3"/>
              <w:left w:val="single" w:sz="4" w:space="0" w:color="2E5FA3"/>
              <w:bottom w:val="single" w:sz="4" w:space="0" w:color="2E5FA3"/>
              <w:right w:val="single" w:sz="4" w:space="0" w:color="2E5FA3"/>
            </w:tcBorders>
            <w:shd w:val="clear" w:color="auto" w:fill="FFF3E0"/>
            <w:tcMar>
              <w:top w:w="120" w:type="dxa"/>
              <w:bottom w:w="120" w:type="dxa"/>
              <w:left w:w="160" w:type="dxa"/>
              <w:right w:w="160" w:type="dxa"/>
            </w:tcMar>
          </w:tcPr>
          <w:p>
            <w:pPr>
              <w:spacing w:before="0" w:after="80"/>
            </w:pPr>
            <w:r>
              <w:rPr>
                <w:rFonts w:ascii="Arial" w:cs="Arial" w:eastAsia="Arial" w:hAnsi="Arial"/>
                <w:b/>
                <w:bCs/>
                <w:color w:val="1F3864"/>
                <w:sz w:val="20"/>
                <w:szCs w:val="20"/>
              </w:rPr>
              <w:t>Nota metodológica sobre o overhead</w:t>
            </w:r>
          </w:p>
          <w:p>
            <w:pPr>
              <w:spacing w:before="80" w:after="80"/>
            </w:pPr>
            <w:r>
              <w:rPr>
                <w:rFonts w:ascii="Arial" w:cs="Arial" w:eastAsia="Arial" w:hAnsi="Arial"/>
                <w:color w:val="1A1A1A"/>
                <w:sz w:val="20"/>
                <w:szCs w:val="20"/>
              </w:rPr>
              <w:t xml:space="preserve">Os fatores acima são estimativas de engenharia baseadas em parâmetros do pipeline, não em medições da base real. A validação definitiva exige o </w:t>
            </w:r>
            <w:r>
              <w:rPr>
                <w:rFonts w:ascii="Arial" w:cs="Arial" w:eastAsia="Arial" w:hAnsi="Arial"/>
                <w:b/>
                <w:bCs/>
                <w:color w:val="1A1A1A"/>
                <w:sz w:val="20"/>
                <w:szCs w:val="20"/>
              </w:rPr>
              <w:t>spike técnico de amostragem</w:t>
            </w:r>
            <w:r>
              <w:rPr>
                <w:rFonts w:ascii="Arial" w:cs="Arial" w:eastAsia="Arial" w:hAnsi="Arial"/>
                <w:color w:val="1A1A1A"/>
                <w:sz w:val="20"/>
                <w:szCs w:val="20"/>
              </w:rPr>
              <w:t xml:space="preserve"> recomendado na Seção 6: indexar uma amostra de ~5% da base (40 PDFs, 20 páginas wiki, 3 planilhas) e medir o overhead efetivo antes de escalar.</w:t>
            </w:r>
          </w:p>
        </w:tc>
      </w:tr>
    </w:tbl>
    <w:p>
      <w:pPr>
        <w:spacing w:before="24" w:after="0"/>
      </w:pPr>
      <w:r>
        <w:t/>
      </w:r>
    </w:p>
    <w:p>
      <w:pPr>
        <w:pStyle w:val="Heading2"/>
        <w:pBdr>
          <w:bottom w:val="single" w:sz="4" w:space="4" w:color="2E5FA3"/>
        </w:pBdr>
        <w:spacing w:before="280" w:after="100"/>
      </w:pPr>
      <w:r>
        <w:rPr>
          <w:rFonts w:ascii="Arial" w:cs="Arial" w:eastAsia="Arial" w:hAnsi="Arial"/>
          <w:b/>
          <w:bCs/>
          <w:color w:val="2E5FA3"/>
          <w:sz w:val="26"/>
          <w:szCs w:val="26"/>
        </w:rPr>
        <w:t>2.3  Consolidação com Intervalo de Confiança</w:t>
      </w:r>
    </w:p>
    <w:p>
      <w:pPr>
        <w:spacing w:before="8" w:after="0"/>
      </w:pPr>
      <w:r>
        <w:t/>
      </w:r>
    </w:p>
    <w:p>
      <w:pPr>
        <w:spacing w:before="80" w:after="80"/>
      </w:pPr>
      <w:r>
        <w:rPr>
          <w:rFonts w:ascii="Arial" w:cs="Arial" w:eastAsia="Arial" w:hAnsi="Arial"/>
          <w:color w:val="1A1A1A"/>
          <w:sz w:val="20"/>
          <w:szCs w:val="20"/>
        </w:rPr>
        <w:t xml:space="preserve">São apresentadas duas estimativas: </w:t>
      </w:r>
      <w:r>
        <w:rPr>
          <w:rFonts w:ascii="Arial" w:cs="Arial" w:eastAsia="Arial" w:hAnsi="Arial"/>
          <w:b/>
          <w:bCs/>
          <w:color w:val="1A1A1A"/>
          <w:sz w:val="20"/>
          <w:szCs w:val="20"/>
        </w:rPr>
        <w:t>conservadora</w:t>
      </w:r>
      <w:r>
        <w:rPr>
          <w:rFonts w:ascii="Arial" w:cs="Arial" w:eastAsia="Arial" w:hAnsi="Arial"/>
          <w:color w:val="1A1A1A"/>
          <w:sz w:val="20"/>
          <w:szCs w:val="20"/>
        </w:rPr>
        <w:t xml:space="preserve"> (palavras/página no limite inferior da faixa, overhead de +20%) e </w:t>
      </w:r>
      <w:r>
        <w:rPr>
          <w:rFonts w:ascii="Arial" w:cs="Arial" w:eastAsia="Arial" w:hAnsi="Arial"/>
          <w:b/>
          <w:bCs/>
          <w:color w:val="1A1A1A"/>
          <w:sz w:val="20"/>
          <w:szCs w:val="20"/>
        </w:rPr>
        <w:t>central</w:t>
      </w:r>
      <w:r>
        <w:rPr>
          <w:rFonts w:ascii="Arial" w:cs="Arial" w:eastAsia="Arial" w:hAnsi="Arial"/>
          <w:color w:val="1A1A1A"/>
          <w:sz w:val="20"/>
          <w:szCs w:val="20"/>
        </w:rPr>
        <w:t xml:space="preserve"> (valores revisados desta seção, overhead de +35%). A estimativa anterior de ~15M tokens derivava de um overhead sem base metodológica e de estimativas de palavras/linha subestimadas.</w:t>
      </w:r>
    </w:p>
    <w:p>
      <w:pPr>
        <w:spacing w:before="16" w:after="0"/>
      </w:pPr>
      <w:r>
        <w:t/>
      </w:r>
    </w:p>
    <w:tbl>
      <w:tblPr>
        <w:tblW w:w="9360" w:type="dxa"/>
        <w:tblLayout w:type="fixed"/>
        <w:tblCellMar>
          <w:top w:w="80" w:type="dxa"/>
          <w:bottom w:w="80" w:type="dxa"/>
          <w:left w:w="120" w:type="dxa"/>
          <w:right w:w="120" w:type="dxa"/>
        </w:tblCellMar>
      </w:tblPr>
      <w:tblGrid>
        <w:gridCol w:w="2800"/>
        <w:gridCol w:w="2200"/>
        <w:gridCol w:w="2180"/>
        <w:gridCol w:w="2180"/>
      </w:tblGrid>
      <w:tr>
        <w:tc>
          <w:tcPr>
            <w:tcW w:w="28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Fonte</w:t>
            </w:r>
          </w:p>
        </w:tc>
        <w:tc>
          <w:tcPr>
            <w:tcW w:w="220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Base bruta (tokens)</w:t>
            </w:r>
          </w:p>
        </w:tc>
        <w:tc>
          <w:tcPr>
            <w:tcW w:w="218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Com overhead +35% (central)</w:t>
            </w:r>
          </w:p>
        </w:tc>
        <w:tc>
          <w:tcPr>
            <w:tcW w:w="2180" w:type="dxa"/>
            <w:tcBorders>
              <w:top w:val="single" w:sz="1" w:space="0" w:color="4472C4"/>
              <w:left w:val="single" w:sz="1" w:space="0" w:color="4472C4"/>
              <w:bottom w:val="single" w:sz="1" w:space="0" w:color="4472C4"/>
              <w:right w:val="single" w:sz="1" w:space="0" w:color="4472C4"/>
            </w:tcBorders>
            <w:shd w:val="clear" w:color="auto" w:fill="1F3864"/>
            <w:tcMar>
              <w:top w:w="80" w:type="dxa"/>
              <w:bottom w:w="80" w:type="dxa"/>
              <w:left w:w="120" w:type="dxa"/>
              <w:right w:w="120" w:type="dxa"/>
            </w:tcMar>
          </w:tcPr>
          <w:p>
            <w:pPr>
              <w:spacing w:before="0" w:after="0"/>
            </w:pPr>
            <w:r>
              <w:rPr>
                <w:rFonts w:ascii="Arial" w:cs="Arial" w:eastAsia="Arial" w:hAnsi="Arial"/>
                <w:b/>
                <w:bCs/>
                <w:color w:val="FFFFFF"/>
                <w:sz w:val="18"/>
                <w:szCs w:val="18"/>
              </w:rPr>
              <w:t>Estimativa conservadora¹</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PDFs SharePoint (800 docs, 500 palavras/pág)</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~5.333.000</w:t>
            </w:r>
          </w:p>
        </w:tc>
        <w:tc>
          <w:tcPr>
            <w:tcW w:w="218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~7.200.000</w:t>
            </w:r>
          </w:p>
        </w:tc>
        <w:tc>
          <w:tcPr>
            <w:tcW w:w="218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~6.400.000</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Wiki Confluence (400 págs, 1.500 palavras/pág)</w:t>
            </w:r>
          </w:p>
        </w:tc>
        <w:tc>
          <w:tcPr>
            <w:tcW w:w="22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~800.000</w:t>
            </w:r>
          </w:p>
        </w:tc>
        <w:tc>
          <w:tcPr>
            <w:tcW w:w="218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~1.080.000</w:t>
            </w:r>
          </w:p>
        </w:tc>
        <w:tc>
          <w:tcPr>
            <w:tcW w:w="218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color w:val="1A1A1A"/>
                <w:sz w:val="18"/>
                <w:szCs w:val="18"/>
              </w:rPr>
              <w:t>~960.000</w:t>
            </w:r>
          </w:p>
        </w:tc>
      </w:tr>
      <w:tr>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Planilhas XLSX (50 arquivos, 55 palavras/linha)</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~1.650.000</w:t>
            </w:r>
          </w:p>
        </w:tc>
        <w:tc>
          <w:tcPr>
            <w:tcW w:w="218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~2.228.000</w:t>
            </w:r>
          </w:p>
        </w:tc>
        <w:tc>
          <w:tcPr>
            <w:tcW w:w="2180" w:type="dxa"/>
            <w:tcBorders>
              <w:top w:val="single" w:sz="1" w:space="0" w:color="C0C0C0"/>
              <w:left w:val="single" w:sz="1" w:space="0" w:color="C0C0C0"/>
              <w:bottom w:val="single" w:sz="1" w:space="0" w:color="C0C0C0"/>
              <w:right w:val="single" w:sz="1" w:space="0" w:color="C0C0C0"/>
            </w:tcBorders>
            <w:shd w:val="clear" w:color="auto" w:fill="FFFFFF"/>
            <w:tcMar>
              <w:top w:w="80" w:type="dxa"/>
              <w:bottom w:w="80" w:type="dxa"/>
              <w:left w:w="120" w:type="dxa"/>
              <w:right w:w="120" w:type="dxa"/>
            </w:tcMar>
          </w:tcPr>
          <w:p>
            <w:pPr>
              <w:spacing w:before="0" w:after="0"/>
            </w:pPr>
            <w:r>
              <w:rPr>
                <w:rFonts w:ascii="Arial" w:cs="Arial" w:eastAsia="Arial" w:hAnsi="Arial"/>
                <w:color w:val="1A1A1A"/>
                <w:sz w:val="18"/>
                <w:szCs w:val="18"/>
              </w:rPr>
              <w:t>~1.980.000</w:t>
            </w:r>
          </w:p>
        </w:tc>
      </w:tr>
      <w:tr>
        <w:tc>
          <w:tcPr>
            <w:tcW w:w="28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b/>
                <w:bCs/>
                <w:color w:val="FFFFFF"/>
                <w:sz w:val="18"/>
                <w:szCs w:val="18"/>
              </w:rPr>
              <w:t>TOTAL</w:t>
            </w:r>
          </w:p>
        </w:tc>
        <w:tc>
          <w:tcPr>
            <w:tcW w:w="220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b/>
                <w:bCs/>
                <w:color w:val="FFFFFF"/>
                <w:sz w:val="18"/>
                <w:szCs w:val="18"/>
              </w:rPr>
              <w:t>~7.783.000</w:t>
            </w:r>
          </w:p>
        </w:tc>
        <w:tc>
          <w:tcPr>
            <w:tcW w:w="218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b/>
                <w:bCs/>
                <w:color w:val="FFFFFF"/>
                <w:sz w:val="18"/>
                <w:szCs w:val="18"/>
              </w:rPr>
              <w:t>~10.508.000</w:t>
            </w:r>
          </w:p>
        </w:tc>
        <w:tc>
          <w:tcPr>
            <w:tcW w:w="2180" w:type="dxa"/>
            <w:tcBorders>
              <w:top w:val="single" w:sz="1" w:space="0" w:color="C0C0C0"/>
              <w:left w:val="single" w:sz="1" w:space="0" w:color="C0C0C0"/>
              <w:bottom w:val="single" w:sz="1" w:space="0" w:color="C0C0C0"/>
              <w:right w:val="single" w:sz="1" w:space="0" w:color="C0C0C0"/>
            </w:tcBorders>
            <w:shd w:val="clear" w:color="auto" w:fill="E8F4FD"/>
            <w:tcMar>
              <w:top w:w="80" w:type="dxa"/>
              <w:bottom w:w="80" w:type="dxa"/>
              <w:left w:w="120" w:type="dxa"/>
              <w:right w:w="120" w:type="dxa"/>
            </w:tcMar>
          </w:tcPr>
          <w:p>
            <w:pPr>
              <w:spacing w:before="0" w:after="0"/>
            </w:pPr>
            <w:r>
              <w:rPr>
                <w:rFonts w:ascii="Arial" w:cs="Arial" w:eastAsia="Arial" w:hAnsi="Arial"/>
                <w:b/>
                <w:bCs/>
                <w:color w:val="FFFFFF"/>
                <w:sz w:val="18"/>
                <w:szCs w:val="18"/>
              </w:rPr>
              <w:t>~9.340.000</w:t>
            </w:r>
          </w:p>
        </w:tc>
      </w:tr>
    </w:tbl>
    <w:p>
      <w:pPr>
        <w:spacing w:before="16" w:after="0"/>
      </w:pPr>
      <w:r>
        <w:t/>
      </w:r>
    </w:p>
    <w:tbl>
      <w:tblPr>
        <w:tblW w:w="9360" w:type="dxa"/>
        <w:tblLayout w:type="fixed"/>
      </w:tblPr>
      <w:tblGrid>
        <w:gridCol w:w="9360"/>
      </w:tblGrid>
      <w:tr>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120" w:type="dxa"/>
              <w:bottom w:w="120" w:type="dxa"/>
              <w:left w:w="160" w:type="dxa"/>
              <w:right w:w="160" w:type="dxa"/>
            </w:tcMar>
          </w:tcPr>
          <w:p>
            <w:pPr>
              <w:spacing w:before="0" w:after="80"/>
            </w:pPr>
            <w:r>
              <w:rPr>
                <w:rFonts w:ascii="Arial" w:cs="Arial" w:eastAsia="Arial" w:hAnsi="Arial"/>
                <w:b/>
                <w:bCs/>
                <w:color w:val="1F3864"/>
                <w:sz w:val="20"/>
                <w:szCs w:val="20"/>
              </w:rPr>
              <w:t>Resumo do intervalo de confiança</w:t>
            </w:r>
          </w:p>
          <w:p>
            <w:pPr>
              <w:spacing w:before="80" w:after="80"/>
            </w:pPr>
            <w:r>
              <w:rPr>
                <w:rFonts w:ascii="Arial" w:cs="Arial" w:eastAsia="Arial" w:hAnsi="Arial"/>
                <w:b/>
                <w:bCs/>
                <w:color w:val="1A1A1A"/>
                <w:sz w:val="20"/>
                <w:szCs w:val="20"/>
              </w:rPr>
              <w:t xml:space="preserve">Estimativa conservadora (overhead +20%, 450 palavras/pág): </w:t>
            </w:r>
            <w:r>
              <w:rPr>
                <w:rFonts w:ascii="Arial" w:cs="Arial" w:eastAsia="Arial" w:hAnsi="Arial"/>
                <w:b/>
                <w:bCs/>
                <w:color w:val="2E5FA3"/>
                <w:sz w:val="20"/>
                <w:szCs w:val="20"/>
              </w:rPr>
              <w:t>~9,3M tokens</w:t>
            </w:r>
          </w:p>
          <w:p>
            <w:pPr>
              <w:spacing w:before="80" w:after="80"/>
            </w:pPr>
            <w:r>
              <w:rPr>
                <w:rFonts w:ascii="Arial" w:cs="Arial" w:eastAsia="Arial" w:hAnsi="Arial"/>
                <w:b/>
                <w:bCs/>
                <w:color w:val="1A1A1A"/>
                <w:sz w:val="20"/>
                <w:szCs w:val="20"/>
              </w:rPr>
              <w:t xml:space="preserve">Estimativa central (overhead +35%, valores revisados): </w:t>
            </w:r>
            <w:r>
              <w:rPr>
                <w:rFonts w:ascii="Arial" w:cs="Arial" w:eastAsia="Arial" w:hAnsi="Arial"/>
                <w:b/>
                <w:bCs/>
                <w:color w:val="2E5FA3"/>
                <w:sz w:val="20"/>
                <w:szCs w:val="20"/>
              </w:rPr>
              <w:t>~10,5M tokens</w:t>
            </w:r>
          </w:p>
          <w:p>
            <w:pPr>
              <w:spacing w:before="80" w:after="80"/>
            </w:pPr>
            <w:r>
              <w:rPr>
                <w:rFonts w:ascii="Arial" w:cs="Arial" w:eastAsia="Arial" w:hAnsi="Arial"/>
                <w:i/>
                <w:iCs/>
                <w:color w:val="595959"/>
                <w:sz w:val="18"/>
                <w:szCs w:val="18"/>
              </w:rPr>
              <w:t>A estimativa anterior de ~15M tokens foi descartada por usar overhead de 60% sem decomposição metodológica e 30 palavras/linha serializada — subestimativa de ~45%. O intervalo ~9-11M tokens é verificável após o spike de amostragem (Seção 6).</w:t>
            </w:r>
          </w:p>
        </w:tc>
      </w:tr>
    </w:tbl>
    <w:p>
      <w:pPr>
        <w:spacing w:before="16" w:after="0"/>
      </w:pPr>
      <w:r>
        <w:t/>
      </w:r>
    </w:p>
    <w:p>
      <w:pPr>
        <w:spacing w:before="80" w:after="80"/>
      </w:pPr>
      <w:r>
        <w:rPr>
          <w:rFonts w:ascii="Arial" w:cs="Arial" w:eastAsia="Arial" w:hAnsi="Arial"/>
          <w:i/>
          <w:iCs/>
          <w:color w:val="595959"/>
          <w:sz w:val="16"/>
          <w:szCs w:val="16"/>
        </w:rPr>
        <w:t>¹ Estimativa conservadora usa overhead de +20% e 450 palavras/página para PDFs (limite inferior da faixa 450-600). A revisão de 30→55 palavras/linha para planilhas permanece em ambas as estimativas por ser o ponto mais bem fundamentado desta seção.</w:t>
      </w:r>
    </w:p>
    <w:p>
      <w:pPr>
        <w:spacing w:before="24" w:after="0"/>
      </w:pPr>
      <w:r>
        <w:t/>
      </w:r>
    </w:p>
    <w:p>
      <w:pPr>
        <w:pStyle w:val="Heading1"/>
        <w:spacing w:after="120" w:before="360"/>
      </w:pPr>
      <w:r>
        <w:rPr>
          <w:rFonts w:ascii="Arial" w:cs="Arial" w:eastAsia="Arial" w:hAnsi="Arial"/>
          <w:b/>
          <w:bCs/>
          <w:color w:val="1F3864"/>
          <w:sz w:val="32"/>
          <w:szCs w:val="32"/>
        </w:rPr>
        <w:t xml:space="preserve">3  Análise do Orçamento de Contexto por Query</w:t>
      </w:r>
    </w:p>
    <w:p>
      <w:pPr>
        <w:spacing w:after="0" w:before="8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3.1  Decomposição da Janela de Contexto do GPT-4o (128K tokens)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Componente</w:t>
            </w:r>
          </w:p>
        </w:tc>
        <w:tc>
          <w:tcPr>
            <w:tcW w:type="dxa" w:w="26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Tokens reservados</w:t>
            </w:r>
          </w:p>
        </w:tc>
        <w:tc>
          <w:tcPr>
            <w:tcW w:type="dxa" w:w="356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Notas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prompt + instruções base</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~2.000</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Persona do assistente, regras de comportamento, instrução de citação de fonte</w:t>
            </w:r>
          </w:p>
        </w:tc>
      </w:tr>
      <w:tr>
        <w:tc>
          <w:tcPr>
            <w:tcW w:type="dxa" w:w="32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Histórico de conversa (sessão Teams)</w:t>
            </w:r>
          </w:p>
        </w:tc>
        <w:tc>
          <w:tcPr>
            <w:tcW w:type="dxa" w:w="2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~4.000–8.000</w:t>
            </w:r>
          </w:p>
        </w:tc>
        <w:tc>
          <w:tcPr>
            <w:tcW w:type="dxa" w:w="35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Variável; cresce com o número de turns (ver 3.3)</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Chunks recuperados pelo retrieval</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~8.000–16.000</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16–32 chunks de 500 tokens</w:t>
            </w:r>
          </w:p>
        </w:tc>
      </w:tr>
      <w:tr>
        <w:tc>
          <w:tcPr>
            <w:tcW w:type="dxa" w:w="32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Query do usuário (turn atual)</w:t>
            </w:r>
          </w:p>
        </w:tc>
        <w:tc>
          <w:tcPr>
            <w:tcW w:type="dxa" w:w="2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~100–300</w:t>
            </w:r>
          </w:p>
        </w:tc>
        <w:tc>
          <w:tcPr>
            <w:tcW w:type="dxa" w:w="35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Perguntas operacionais são curtas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Reserva para geração da resposta</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~1.000–2.000</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Output tokens da resposta do assistente</w:t>
            </w:r>
          </w:p>
        </w:tc>
      </w:tr>
      <w:tr>
        <w:tc>
          <w:tcPr>
            <w:tcW w:type="dxa" w:w="32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b/>
                <w:bCs/>
                <w:color w:val="FFFFFF"/>
                <w:sz w:val="20"/>
                <w:szCs w:val="20"/>
              </w:rPr>
              <w:t xml:space="preserve">Disponível para chunks (headroom)</w:t>
            </w:r>
          </w:p>
        </w:tc>
        <w:tc>
          <w:tcPr>
            <w:tcW w:type="dxa" w:w="2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b/>
                <w:bCs/>
                <w:color w:val="FFFFFF"/>
                <w:sz w:val="20"/>
                <w:szCs w:val="20"/>
              </w:rPr>
              <w:t xml:space="preserve">~100.000–112.000</w:t>
            </w:r>
          </w:p>
        </w:tc>
        <w:tc>
          <w:tcPr>
            <w:tcW w:type="dxa" w:w="35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b/>
                <w:bCs/>
                <w:color w:val="FFFFFF"/>
                <w:sz w:val="20"/>
                <w:szCs w:val="20"/>
              </w:rPr>
              <w:t xml:space="preserve">Janela total menos os demais componentes</w:t>
            </w:r>
          </w:p>
        </w:tc>
      </w:tr>
    </w:tbl>
    <w:p>
      <w:pPr>
        <w:spacing w:after="0" w:before="20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3.2  Cálculo de Chunks por Query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D6E4F0" w:val="clear"/>
            <w:tcMar>
              <w:top w:type="dxa" w:w="120"/>
              <w:left w:type="dxa" w:w="160"/>
              <w:bottom w:type="dxa" w:w="120"/>
              <w:right w:type="dxa" w:w="160"/>
            </w:tcMar>
          </w:tcPr>
          <w:p>
            <w:pPr>
              <w:spacing w:after="80" w:before="0"/>
            </w:pPr>
            <w:r>
              <w:rPr>
                <w:rFonts w:ascii="Arial" w:cs="Arial" w:eastAsia="Arial" w:hAnsi="Arial"/>
                <w:b/>
                <w:bCs/>
                <w:color w:val="1F3864"/>
                <w:sz w:val="20"/>
                <w:szCs w:val="20"/>
              </w:rPr>
              <w:t xml:space="preserve">Cálculo do número de chunks</w:t>
            </w:r>
          </w:p>
          <w:p>
            <w:pPr>
              <w:spacing w:after="80" w:before="80"/>
            </w:pPr>
            <w:r>
              <w:rPr>
                <w:rFonts w:ascii="Arial" w:cs="Arial" w:eastAsia="Arial" w:hAnsi="Arial"/>
                <w:b/>
                <w:bCs/>
                <w:color w:val="1A1A1A"/>
                <w:sz w:val="20"/>
                <w:szCs w:val="20"/>
              </w:rPr>
              <w:t xml:space="preserve">Headroom disponível para chunks: </w:t>
            </w:r>
            <w:r>
              <w:rPr>
                <w:rFonts w:ascii="Arial" w:cs="Arial" w:eastAsia="Arial" w:hAnsi="Arial"/>
                <w:color w:val="1A1A1A"/>
                <w:sz w:val="20"/>
                <w:szCs w:val="20"/>
              </w:rPr>
              <w:t xml:space="preserve">~100.000 tokens (cenário conservador, com histórico de 6 turns)</w:t>
            </w:r>
          </w:p>
          <w:p>
            <w:pPr>
              <w:spacing w:after="80" w:before="80"/>
            </w:pPr>
            <w:r>
              <w:rPr>
                <w:rFonts w:ascii="Arial" w:cs="Arial" w:eastAsia="Arial" w:hAnsi="Arial"/>
                <w:b/>
                <w:bCs/>
                <w:color w:val="1A1A1A"/>
                <w:sz w:val="20"/>
                <w:szCs w:val="20"/>
              </w:rPr>
              <w:t xml:space="preserve">Tamanho de chunk recomendado: </w:t>
            </w:r>
            <w:r>
              <w:rPr>
                <w:rFonts w:ascii="Arial" w:cs="Arial" w:eastAsia="Arial" w:hAnsi="Arial"/>
                <w:color w:val="1A1A1A"/>
                <w:sz w:val="20"/>
                <w:szCs w:val="20"/>
              </w:rPr>
              <w:t xml:space="preserve">500 tokens</w:t>
            </w:r>
          </w:p>
          <w:p>
            <w:pPr>
              <w:spacing w:after="80" w:before="80"/>
            </w:pPr>
            <w:r>
              <w:rPr>
                <w:rFonts w:ascii="Arial" w:cs="Arial" w:eastAsia="Arial" w:hAnsi="Arial"/>
                <w:b/>
                <w:bCs/>
                <w:color w:val="1A1A1A"/>
                <w:sz w:val="20"/>
                <w:szCs w:val="20"/>
              </w:rPr>
              <w:t xml:space="preserve">Número máximo de chunks: </w:t>
            </w:r>
            <w:r>
              <w:rPr>
                <w:rFonts w:ascii="Arial" w:cs="Arial" w:eastAsia="Arial" w:hAnsi="Arial"/>
                <w:color w:val="1A1A1A"/>
                <w:sz w:val="20"/>
                <w:szCs w:val="20"/>
              </w:rPr>
              <w:t xml:space="preserve">100.000 ÷ 500 = </w:t>
            </w:r>
            <w:r>
              <w:rPr>
                <w:rFonts w:ascii="Arial" w:cs="Arial" w:eastAsia="Arial" w:hAnsi="Arial"/>
                <w:b/>
                <w:bCs/>
                <w:color w:val="1A1A1A"/>
                <w:sz w:val="20"/>
                <w:szCs w:val="20"/>
              </w:rPr>
              <w:t xml:space="preserve">200 chunks</w:t>
            </w:r>
          </w:p>
          <w:p>
            <w:pPr>
              <w:spacing w:after="80" w:before="80"/>
            </w:pPr>
            <w:r>
              <w:rPr>
                <w:rFonts w:ascii="Arial" w:cs="Arial" w:eastAsia="Arial" w:hAnsi="Arial"/>
                <w:b/>
                <w:bCs/>
                <w:color w:val="1A1A1A"/>
                <w:sz w:val="20"/>
                <w:szCs w:val="20"/>
              </w:rPr>
              <w:t xml:space="preserve">Número prático recomendado: </w:t>
            </w:r>
            <w:r>
              <w:rPr>
                <w:rFonts w:ascii="Arial" w:cs="Arial" w:eastAsia="Arial" w:hAnsi="Arial"/>
                <w:color w:val="1A1A1A"/>
                <w:sz w:val="20"/>
                <w:szCs w:val="20"/>
              </w:rPr>
              <w:t>20-30 chunks — mais do que isso e o efeito 'lost in the middle' começa a degradar a qualidade da resposta mesmo com janela disponível</w:t>
            </w:r>
          </w:p>
        </w:tc>
      </w:tr>
    </w:tbl>
    <w:p>
      <w:pPr>
        <w:spacing w:after="0" w:before="160"/>
      </w:pPr>
      <w:r>
        <w:t xml:space="preserve"/>
      </w:r>
    </w:p>
    <w:p>
      <w:pPr>
        <w:spacing w:after="80" w:before="80"/>
      </w:pPr>
      <w:r>
        <w:rPr>
          <w:rFonts w:ascii="Arial" w:cs="Arial" w:eastAsia="Arial" w:hAnsi="Arial"/>
          <w:b/>
          <w:bCs/>
          <w:color w:val="1A1A1A"/>
          <w:sz w:val="20"/>
          <w:szCs w:val="20"/>
        </w:rPr>
        <w:t xml:space="preserve">O paradoxo da janela grande: </w:t>
      </w:r>
      <w:r>
        <w:rPr>
          <w:rFonts w:ascii="Arial" w:cs="Arial" w:eastAsia="Arial" w:hAnsi="Arial"/>
          <w:color w:val="1A1A1A"/>
          <w:sz w:val="20"/>
          <w:szCs w:val="20"/>
        </w:rPr>
        <w:t xml:space="preserve">o GPT-4o tem 128K tokens, o que tecnicamente permite enviar ~200 chunks por query. Porém, pesquisa de Stanford (Liu et al., 2023) demonstrou que LLMs têm dificuldade de utilizar informação posicionada no meio de contextos longos — o modelo presta mais atenção ao início e ao fim do prompt. Isso significa que enviar 200 chunks é, na prática, enviar 20-40 chunks úteis mais 160+ chunks 'invisíveis' que consomem tokens sem contribuir para a qualidade.</w:t>
      </w:r>
    </w:p>
    <w:p>
      <w:pPr>
        <w:spacing w:after="0" w:before="120"/>
      </w:pPr>
      <w:r>
        <w:t xml:space="preserve"/>
      </w:r>
    </w:p>
    <w:p>
      <w:pPr>
        <w:spacing w:after="80" w:before="80"/>
      </w:pPr>
      <w:r>
        <w:rPr>
          <w:rFonts w:ascii="Arial" w:cs="Arial" w:eastAsia="Arial" w:hAnsi="Arial"/>
          <w:b/>
          <w:bCs/>
          <w:color w:val="1F3864"/>
          <w:sz w:val="20"/>
          <w:szCs w:val="20"/>
        </w:rPr>
        <w:t xml:space="preserve">Mitigação diferenciada por tipo de query</w:t>
      </w:r>
    </w:p>
    <w:p>
      <w:pPr>
        <w:spacing w:after="80" w:before="80"/>
      </w:pPr>
      <w:r>
        <w:rPr>
          <w:rFonts w:ascii="Arial" w:cs="Arial" w:eastAsia="Arial" w:hAnsi="Arial"/>
          <w:color w:val="1A1A1A"/>
          <w:sz w:val="20"/>
          <w:szCs w:val="20"/>
        </w:rPr>
        <w:t xml:space="preserve">A mitigação do </w:t>
      </w:r>
      <w:r>
        <w:rPr>
          <w:rFonts w:ascii="Arial" w:cs="Arial" w:eastAsia="Arial" w:hAnsi="Arial"/>
          <w:i/>
          <w:iCs/>
          <w:color w:val="1A1A1A"/>
          <w:sz w:val="20"/>
          <w:szCs w:val="20"/>
        </w:rPr>
        <w:t xml:space="preserve">lost in the middle</w:t>
      </w:r>
      <w:r>
        <w:rPr>
          <w:rFonts w:ascii="Arial" w:cs="Arial" w:eastAsia="Arial" w:hAnsi="Arial"/>
          <w:color w:val="1A1A1A"/>
          <w:sz w:val="20"/>
          <w:szCs w:val="20"/>
        </w:rPr>
        <w:t xml:space="preserve"> para a NovaTech não é apenas ordenar melhor os chunks — é diferenciar a estratégia por tipo de query:</w:t>
      </w:r>
    </w:p>
    <w:p>
      <w:pPr>
        <w:pStyle w:val="ListParagraph"/>
        <w:numPr>
          <w:ilvl w:val="0"/>
          <w:numId w:val="2"/>
        </w:numPr>
        <w:spacing w:after="60" w:before="60"/>
        <w:ind w:left="720" w:hanging="360"/>
      </w:pPr>
      <w:r>
        <w:rPr>
          <w:rFonts w:ascii="Arial" w:cs="Arial" w:eastAsia="Arial" w:hAnsi="Arial"/>
          <w:b/>
          <w:bCs/>
          <w:color w:val="1A1A1A"/>
          <w:sz w:val="20"/>
          <w:szCs w:val="20"/>
        </w:rPr>
        <w:t xml:space="preserve">Queries de lookup (Tipo A — valor específico de tabela): </w:t>
      </w:r>
      <w:r>
        <w:rPr>
          <w:rFonts w:ascii="Arial" w:cs="Arial" w:eastAsia="Arial" w:hAnsi="Arial"/>
          <w:color w:val="1A1A1A"/>
          <w:sz w:val="20"/>
          <w:szCs w:val="20"/>
        </w:rPr>
        <w:t xml:space="preserve">enviar 3-5 chunks com threshold de similaridade mínimo (score de corte, não apenas top-K). Com menos chunks no contexto, o risco de </w:t>
      </w:r>
      <w:r>
        <w:rPr>
          <w:rFonts w:ascii="Arial" w:cs="Arial" w:eastAsia="Arial" w:hAnsi="Arial"/>
          <w:i/>
          <w:iCs/>
          <w:color w:val="1A1A1A"/>
          <w:sz w:val="20"/>
          <w:szCs w:val="20"/>
        </w:rPr>
        <w:t xml:space="preserve">lost in the middle</w:t>
      </w:r>
      <w:r>
        <w:rPr>
          <w:rFonts w:ascii="Arial" w:cs="Arial" w:eastAsia="Arial" w:hAnsi="Arial"/>
          <w:color w:val="1A1A1A"/>
          <w:sz w:val="20"/>
          <w:szCs w:val="20"/>
        </w:rPr>
        <w:t xml:space="preserve"> é eliminado, não apenas mitigado. O prompt deve incluir instrução explícita: ‘Se os trechos fornecidos contiverem o valor diretamente, responda com o valor exato e cite a fonte. Não interpole nem estime.’</w:t>
      </w:r>
    </w:p>
    <w:p>
      <w:pPr>
        <w:pStyle w:val="ListParagraph"/>
        <w:numPr>
          <w:ilvl w:val="0"/>
          <w:numId w:val="2"/>
        </w:numPr>
        <w:spacing w:after="60" w:before="60"/>
        <w:ind w:left="720" w:hanging="360"/>
      </w:pPr>
      <w:r>
        <w:rPr>
          <w:rFonts w:ascii="Arial" w:cs="Arial" w:eastAsia="Arial" w:hAnsi="Arial"/>
          <w:b/>
          <w:bCs/>
          <w:color w:val="1A1A1A"/>
          <w:sz w:val="20"/>
          <w:szCs w:val="20"/>
        </w:rPr>
        <w:t xml:space="preserve">Queries de procedimento (Tipo B) e regras com exceções (Tipo C): </w:t>
      </w:r>
      <w:r>
        <w:rPr>
          <w:rFonts w:ascii="Arial" w:cs="Arial" w:eastAsia="Arial" w:hAnsi="Arial"/>
          <w:color w:val="1A1A1A"/>
          <w:sz w:val="20"/>
          <w:szCs w:val="20"/>
        </w:rPr>
        <w:t xml:space="preserve">manter a estratégia de 15-25 chunks com posicionamento nas extremidades.</w:t>
      </w:r>
    </w:p>
    <w:p>
      <w:pPr>
        <w:spacing w:after="80" w:before="80"/>
      </w:pPr>
      <w:r>
        <w:rPr>
          <w:rFonts w:ascii="Arial" w:cs="Arial" w:eastAsia="Arial" w:hAnsi="Arial"/>
          <w:color w:val="1A1A1A"/>
          <w:sz w:val="20"/>
          <w:szCs w:val="20"/>
        </w:rPr>
        <w:t xml:space="preserve">Esta diferenciação por tipo de query deve ser implementada no pipeline de retrieval como lógica de classificação da pergunta </w:t>
      </w:r>
      <w:r>
        <w:rPr>
          <w:rFonts w:ascii="Arial" w:cs="Arial" w:eastAsia="Arial" w:hAnsi="Arial"/>
          <w:b/>
          <w:bCs/>
          <w:color w:val="1A1A1A"/>
          <w:sz w:val="20"/>
          <w:szCs w:val="20"/>
        </w:rPr>
        <w:t xml:space="preserve">antes</w:t>
      </w:r>
      <w:r>
        <w:rPr>
          <w:rFonts w:ascii="Arial" w:cs="Arial" w:eastAsia="Arial" w:hAnsi="Arial"/>
          <w:color w:val="1A1A1A"/>
          <w:sz w:val="20"/>
          <w:szCs w:val="20"/>
        </w:rPr>
        <w:t xml:space="preserve"> da busca vetorial.</w:t>
      </w:r>
    </w:p>
    <w:p>
      <w:pPr>
        <w:pStyle w:val="Heading2"/>
        <w:pBdr>
          <w:bottom w:val="single" w:color="2E5FA3" w:sz="4" w:space="4"/>
        </w:pBdr>
        <w:spacing w:after="100" w:before="280"/>
      </w:pPr>
      <w:r>
        <w:rPr>
          <w:rFonts w:ascii="Arial" w:cs="Arial" w:eastAsia="Arial" w:hAnsi="Arial"/>
          <w:b/>
          <w:bCs/>
          <w:color w:val="2E5FA3"/>
          <w:sz w:val="26"/>
          <w:szCs w:val="26"/>
        </w:rPr>
        <w:t xml:space="preserve">3.3  Comportamento em Sessões Múltiplas no Teams</w:t>
      </w:r>
    </w:p>
    <w:p>
      <w:pPr>
        <w:spacing w:after="0" w:before="80"/>
      </w:pPr>
      <w:r>
        <w:t xml:space="preserve"/>
      </w:r>
    </w:p>
    <w:p>
      <w:pPr>
        <w:spacing w:after="80" w:before="80"/>
      </w:pPr>
      <w:r>
        <w:rPr>
          <w:rFonts w:ascii="Arial" w:cs="Arial" w:eastAsia="Arial" w:hAnsi="Arial"/>
          <w:color w:val="1A1A1A"/>
          <w:sz w:val="20"/>
          <w:szCs w:val="20"/>
        </w:rPr>
        <w:t xml:space="preserve">O problema em sessões longas não é esgotar a janela de contexto — o GPT-4o tem 128K tokens e sessões de atendimento raramente ultrapassam 30 turns. O problema real é que o histórico de conversa </w:t>
      </w:r>
      <w:r>
        <w:rPr>
          <w:rFonts w:ascii="Arial" w:cs="Arial" w:eastAsia="Arial" w:hAnsi="Arial"/>
          <w:b/>
          <w:bCs/>
          <w:color w:val="1A1A1A"/>
          <w:sz w:val="20"/>
          <w:szCs w:val="20"/>
        </w:rPr>
        <w:t xml:space="preserve">compete com os chunks de retrieval pela atenção do modelo</w:t>
      </w:r>
      <w:r>
        <w:rPr>
          <w:rFonts w:ascii="Arial" w:cs="Arial" w:eastAsia="Arial" w:hAnsi="Arial"/>
          <w:color w:val="1A1A1A"/>
          <w:sz w:val="20"/>
          <w:szCs w:val="20"/>
        </w:rPr>
        <w:t xml:space="preserve">. Com 15 turns de histórico (~12K tokens) mais 25 chunks de 500 tokens (~12,5K tokens), o modelo processa ~25K tokens de conteúdo relevante. Pesquisa empírica mostra degradação de precisão quando o contexto relevante ultrapassa ~30-40K tokens para queries de lookup — não por falta de espaço, mas por dispersão de atenção sobre volume maior de texto.</w:t>
      </w:r>
    </w:p>
    <w:p>
      <w:pPr>
        <w:spacing w:after="0" w:before="120"/>
      </w:pPr>
      <w:r>
        <w:t xml:space="preserve"/>
      </w:r>
    </w:p>
    <w:p>
      <w:pPr>
        <w:spacing w:after="0" w:before="160"/>
      </w:pPr>
      <w:r>
        <w:t xml:space="preserve"/>
      </w:r>
    </w:p>
    <w:p>
      <w:pPr>
        <w:spacing w:after="0" w:before="120"/>
      </w:pPr>
      <w:r>
        <w:t xml:space="preserve"/>
      </w:r>
    </w:p>
    <w:p>
      <w:pPr>
        <w:spacing w:after="80" w:before="80"/>
      </w:pPr>
      <w:r>
        <w:rPr>
          <w:rFonts w:ascii="Arial" w:cs="Arial" w:eastAsia="Arial" w:hAnsi="Arial"/>
          <w:b/>
          <w:bCs/>
          <w:color w:val="1F3864"/>
          <w:sz w:val="20"/>
          <w:szCs w:val="20"/>
        </w:rPr>
        <w:t xml:space="preserve">Implicação para o design: </w:t>
      </w:r>
      <w:r>
        <w:rPr>
          <w:rFonts w:ascii="Arial" w:cs="Arial" w:eastAsia="Arial" w:hAnsi="Arial"/>
          <w:color w:val="1A1A1A"/>
          <w:sz w:val="20"/>
          <w:szCs w:val="20"/>
        </w:rPr>
        <w:t xml:space="preserve">o threshold para ativar sumarização deve ser baseado no </w:t>
      </w:r>
      <w:r>
        <w:rPr>
          <w:rFonts w:ascii="Arial" w:cs="Arial" w:eastAsia="Arial" w:hAnsi="Arial"/>
          <w:b/>
          <w:bCs/>
          <w:color w:val="1A1A1A"/>
          <w:sz w:val="20"/>
          <w:szCs w:val="20"/>
        </w:rPr>
        <w:t xml:space="preserve">número de turns (~8-10 turns)</w:t>
      </w:r>
      <w:r>
        <w:rPr>
          <w:rFonts w:ascii="Arial" w:cs="Arial" w:eastAsia="Arial" w:hAnsi="Arial"/>
          <w:color w:val="1A1A1A"/>
          <w:sz w:val="20"/>
          <w:szCs w:val="20"/>
        </w:rPr>
        <w:t xml:space="preserve">, não no total de tokens. O número de tokens por turn é variável e difícil de monitorar em tempo real; o número de turns é sempre conhecido e simples de implementar como gatilho.</w:t>
      </w:r>
    </w:p>
    <w:p>
      <w:pPr>
        <w:spacing w:after="0" w:before="120"/>
      </w:pPr>
      <w:r>
        <w:t xml:space="preserve"/>
      </w:r>
    </w:p>
    <w:p>
      <w:pPr>
        <w:spacing w:after="80" w:before="80"/>
      </w:pPr>
      <w:r>
        <w:rPr>
          <w:rFonts w:ascii="Arial" w:cs="Arial" w:eastAsia="Arial" w:hAnsi="Arial"/>
          <w:b/>
          <w:bCs/>
          <w:color w:val="1A1A1A"/>
          <w:sz w:val="20"/>
          <w:szCs w:val="20"/>
        </w:rPr>
        <w:t xml:space="preserve">Estratégia de gestão de contexto longo em sessões Teams: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Sliding window com sumarização: </w:t>
      </w:r>
      <w:r>
        <w:rPr>
          <w:rFonts w:ascii="Arial" w:cs="Arial" w:eastAsia="Arial" w:hAnsi="Arial"/>
          <w:color w:val="1A1A1A"/>
          <w:sz w:val="20"/>
          <w:szCs w:val="20"/>
        </w:rPr>
        <w:t xml:space="preserve">manter os últimos N turns completos no histórico e substituir turns mais antigos por uma sumarização compacta gerada pelo próprio LLM. Isso preserva continuidade sem crescimento ilimitado do contexto.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Prioridade do histórico recente: </w:t>
      </w:r>
      <w:r>
        <w:rPr>
          <w:rFonts w:ascii="Arial" w:cs="Arial" w:eastAsia="Arial" w:hAnsi="Arial"/>
          <w:color w:val="1A1A1A"/>
          <w:sz w:val="20"/>
          <w:szCs w:val="20"/>
        </w:rPr>
        <w:t xml:space="preserve">os 3-4 turns mais recentes sempre ficam completos no prompt, pois são mais relevantes para o contexto imediato da conversa.</w:t>
      </w:r>
    </w:p>
    <w:p>
      <w:pPr>
        <w:pStyle w:val="ListParagraph"/>
        <w:numPr>
          <w:ilvl w:val="0"/>
          <w:numId w:val="2"/>
        </w:numPr>
        <w:spacing w:after="60" w:before="60"/>
        <w:ind w:left="720" w:hanging="360"/>
      </w:pPr>
      <w:r>
        <w:rPr>
          <w:rFonts w:ascii="Arial" w:cs="Arial" w:eastAsia="Arial" w:hAnsi="Arial"/>
          <w:b/>
          <w:bCs/>
          <w:color w:val="1A1A1A"/>
          <w:sz w:val="20"/>
          <w:szCs w:val="20"/>
        </w:rPr>
        <w:t xml:space="preserve">Alarme de sessão longa: </w:t>
      </w:r>
      <w:r>
        <w:rPr>
          <w:rFonts w:ascii="Arial" w:cs="Arial" w:eastAsia="Arial" w:hAnsi="Arial"/>
          <w:color w:val="1A1A1A"/>
          <w:sz w:val="20"/>
          <w:szCs w:val="20"/>
        </w:rPr>
        <w:t xml:space="preserve">quando o token count da sessão ultrapassar 60K, notificar o assistente para sumarizar proativamente ('Vou resumir nossa conversa para manter o desempenho...').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Sessões separadas por protocolo de atendimento: </w:t>
      </w:r>
      <w:r>
        <w:rPr>
          <w:rFonts w:ascii="Arial" w:cs="Arial" w:eastAsia="Arial" w:hAnsi="Arial"/>
          <w:color w:val="1A1A1A"/>
          <w:sz w:val="20"/>
          <w:szCs w:val="20"/>
        </w:rPr>
        <w:t xml:space="preserve">cada chamado Teams é uma sessão nova — não misturar contexto entre chamados distintos. Isso mantém o contexto naturalmente bounded.</w:t>
      </w:r>
    </w:p>
    <w:p>
      <w:pPr>
        <w:spacing w:after="0" w:before="240"/>
      </w:pPr>
      <w:r>
        <w:t xml:space="preserve"/>
      </w:r>
    </w:p>
    <w:p>
      <w:r>
        <w:br w:type="page"/>
      </w:r>
    </w:p>
    <w:p>
      <w:pPr>
        <w:pStyle w:val="Heading1"/>
        <w:spacing w:after="120" w:before="360"/>
      </w:pPr>
      <w:r>
        <w:rPr>
          <w:rFonts w:ascii="Arial" w:cs="Arial" w:eastAsia="Arial" w:hAnsi="Arial"/>
          <w:b/>
          <w:bCs/>
          <w:color w:val="1F3864"/>
          <w:sz w:val="32"/>
          <w:szCs w:val="32"/>
        </w:rPr>
        <w:t xml:space="preserve">4  Estratégia de Chunking Recomendada</w:t>
      </w:r>
    </w:p>
    <w:p>
      <w:pPr>
        <w:spacing w:after="0" w:before="80"/>
      </w:pPr>
      <w:r>
        <w:t xml:space="preserve"/>
      </w:r>
    </w:p>
    <w:p>
      <w:pPr>
        <w:spacing w:after="80" w:before="80"/>
      </w:pPr>
      <w:r>
        <w:rPr>
          <w:rFonts w:ascii="Arial" w:cs="Arial" w:eastAsia="Arial" w:hAnsi="Arial"/>
          <w:color w:val="1A1A1A"/>
          <w:sz w:val="20"/>
          <w:szCs w:val="20"/>
        </w:rPr>
        <w:t xml:space="preserve">A estratégia de chunking deve ser orientada pelo tipo de pergunta que a atendente faz — não pela conveniência técnica do pipeline. As perguntas do atendimento da NovaTech se agrupam em três categorias distintas, cada uma com requisitos diferentes de chunking: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Categoria de pergunta</w:t>
            </w:r>
          </w:p>
        </w:tc>
        <w:tc>
          <w:tcPr>
            <w:tcW w:type="dxa" w:w="36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Exemplo real</w:t>
            </w:r>
          </w:p>
        </w:tc>
        <w:tc>
          <w:tcPr>
            <w:tcW w:type="dxa" w:w="316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Requisito de chunk</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Lookup de valor específico</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'Qual o prazo para cliente Gold no Nordeste com 800 kg?'</w:t>
            </w:r>
          </w:p>
        </w:tc>
        <w:tc>
          <w:tcPr>
            <w:tcW w:type="dxa" w:w="3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Chunk pequeno, alta precisão, valor + contexto da linha</w:t>
            </w:r>
          </w:p>
        </w:tc>
      </w:tr>
      <w:tr>
        <w:tc>
          <w:tcPr>
            <w:tcW w:type="dxa" w:w="2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Procedimento sequencial</w:t>
            </w:r>
          </w:p>
        </w:tc>
        <w:tc>
          <w:tcPr>
            <w:tcW w:type="dxa" w:w="3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'Como abrir uma reclamação de avaria? Quais são os passos?'</w:t>
            </w:r>
          </w:p>
        </w:tc>
        <w:tc>
          <w:tcPr>
            <w:tcW w:type="dxa" w:w="31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Chunk médio, sequência preservada, pode cruzar seções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Regra de negócio com exceções</w:t>
            </w:r>
          </w:p>
        </w:tc>
        <w:tc>
          <w:tcPr>
            <w:tcW w:type="dxa" w:w="3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'Qual a política de devolução para carga refrigerada?'</w:t>
            </w:r>
          </w:p>
        </w:tc>
        <w:tc>
          <w:tcPr>
            <w:tcW w:type="dxa" w:w="3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Chunk com contexto amplo, inclui exceções e condições</w:t>
            </w:r>
          </w:p>
        </w:tc>
      </w:tr>
    </w:tbl>
    <w:p>
      <w:pPr>
        <w:spacing w:after="0" w:before="24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4.1  Estratégia Híbrida por Tipo de Conteúdo</w:t>
      </w:r>
    </w:p>
    <w:p>
      <w:pPr>
        <w:spacing w:after="0" w:before="80"/>
      </w:pPr>
      <w:r>
        <w:t xml:space="preserve"/>
      </w:r>
    </w:p>
    <w:p>
      <w:pPr>
        <w:pStyle w:val="Heading3"/>
        <w:spacing w:after="80" w:before="200"/>
      </w:pPr>
      <w:r>
        <w:rPr>
          <w:rFonts w:ascii="Arial" w:cs="Arial" w:eastAsia="Arial" w:hAnsi="Arial"/>
          <w:b/>
          <w:bCs/>
          <w:color w:val="1F3864"/>
          <w:sz w:val="22"/>
          <w:szCs w:val="22"/>
        </w:rPr>
        <w:t xml:space="preserve">Tipo A — Tabelas de Referência (lookup de valores)</w:t>
      </w:r>
    </w:p>
    <w:p>
      <w:pPr>
        <w:spacing w:after="80" w:before="80"/>
      </w:pPr>
      <w:r>
        <w:rPr>
          <w:rFonts w:ascii="Arial" w:cs="Arial" w:eastAsia="Arial" w:hAnsi="Arial"/>
          <w:b/>
          <w:bCs/>
          <w:color w:val="1A1A1A"/>
          <w:sz w:val="20"/>
          <w:szCs w:val="20"/>
        </w:rPr>
        <w:t xml:space="preserve">Tamanho de chunk: </w:t>
      </w:r>
      <w:r>
        <w:rPr>
          <w:rFonts w:ascii="Arial" w:cs="Arial" w:eastAsia="Arial" w:hAnsi="Arial"/>
          <w:color w:val="1A1A1A"/>
          <w:sz w:val="20"/>
          <w:szCs w:val="20"/>
        </w:rPr>
        <w:t xml:space="preserve">1 linha da tabela serializada ≈ 50-100 tokens</w:t>
      </w:r>
    </w:p>
    <w:p>
      <w:pPr>
        <w:spacing w:after="80" w:before="80"/>
      </w:pPr>
      <w:r>
        <w:rPr>
          <w:rFonts w:ascii="Arial" w:cs="Arial" w:eastAsia="Arial" w:hAnsi="Arial"/>
          <w:b/>
          <w:bCs/>
          <w:color w:val="1A1A1A"/>
          <w:sz w:val="20"/>
          <w:szCs w:val="20"/>
        </w:rPr>
        <w:t xml:space="preserve">Estratégia: </w:t>
      </w:r>
      <w:r>
        <w:rPr>
          <w:rFonts w:ascii="Arial" w:cs="Arial" w:eastAsia="Arial" w:hAnsi="Arial"/>
          <w:color w:val="1A1A1A"/>
          <w:sz w:val="20"/>
          <w:szCs w:val="20"/>
        </w:rPr>
        <w:t xml:space="preserve">cada linha da tabela vira um chunk independente, com os cabeçalhos da tabela repetidos no início. Exemplo: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F0F7F0" w:val="clear"/>
            <w:tcMar>
              <w:top w:type="dxa" w:w="120"/>
              <w:left w:type="dxa" w:w="160"/>
              <w:bottom w:type="dxa" w:w="120"/>
              <w:right w:type="dxa" w:w="160"/>
            </w:tcMar>
          </w:tcPr>
          <w:p>
            <w:pPr>
              <w:spacing w:after="80" w:before="0"/>
            </w:pPr>
            <w:r>
              <w:rPr>
                <w:rFonts w:ascii="Arial" w:cs="Arial" w:eastAsia="Arial" w:hAnsi="Arial"/>
                <w:b/>
                <w:bCs/>
                <w:color w:val="1F3864"/>
                <w:sz w:val="20"/>
                <w:szCs w:val="20"/>
              </w:rPr>
              <w:t xml:space="preserve">Exemplo de chunk de tabela (Tipo A)</w:t>
            </w:r>
          </w:p>
          <w:p>
            <w:pPr>
              <w:spacing w:after="80" w:before="80"/>
            </w:pPr>
            <w:r>
              <w:rPr>
                <w:rFonts w:ascii="Arial" w:cs="Arial" w:eastAsia="Arial" w:hAnsi="Arial"/>
                <w:color w:val="1A1A1A"/>
                <w:sz w:val="20"/>
                <w:szCs w:val="20"/>
              </w:rPr>
              <w:t xml:space="preserve">[Tabela: Tabela_Frete_Regiao_v2025.xlsx | Aba: Sul_Sudeste | Linha: 47]</w:t>
            </w:r>
          </w:p>
          <w:p>
            <w:pPr>
              <w:spacing w:after="80" w:before="80"/>
            </w:pPr>
            <w:r>
              <w:rPr>
                <w:rFonts w:ascii="Arial" w:cs="Arial" w:eastAsia="Arial" w:hAnsi="Arial"/>
                <w:color w:val="1A1A1A"/>
                <w:sz w:val="20"/>
                <w:szCs w:val="20"/>
              </w:rPr>
              <w:t xml:space="preserve">Região: Sul | UF: PR, SC, RS | Perfil de Cliente: Gold | Tipo de Carga: Seca | Faixa de Peso: 500-999 kg | Prazo Padrão: 3 dias úteis | Prazo Expresso: 1 dia útil | Frete Base: R$ 4,20/kg | Taxa Mínima: R$ 85,00 | Seguro Obrigatório: Não</w:t>
            </w:r>
          </w:p>
        </w:tc>
      </w:tr>
    </w:tbl>
    <w:p>
      <w:pPr>
        <w:spacing w:after="0" w:before="120"/>
      </w:pPr>
      <w:r>
        <w:t xml:space="preserve"/>
      </w:r>
    </w:p>
    <w:p>
      <w:pPr>
        <w:spacing w:after="80" w:before="80"/>
      </w:pPr>
      <w:r>
        <w:rPr>
          <w:rFonts w:ascii="Arial" w:cs="Arial" w:eastAsia="Arial" w:hAnsi="Arial"/>
          <w:b/>
          <w:bCs/>
          <w:color w:val="1A1A1A"/>
          <w:sz w:val="20"/>
          <w:szCs w:val="20"/>
        </w:rPr>
        <w:t xml:space="preserve">Justificativa: </w:t>
      </w:r>
      <w:r>
        <w:rPr>
          <w:rFonts w:ascii="Arial" w:cs="Arial" w:eastAsia="Arial" w:hAnsi="Arial"/>
          <w:color w:val="1A1A1A"/>
          <w:sz w:val="20"/>
          <w:szCs w:val="20"/>
        </w:rPr>
        <w:t xml:space="preserve">o embedding de uma linha serializada com cabeçalhos captura o conjunto completo de atributos. A query 'prazo Gold 800 kg Nordeste' vai encontrar a linha correta por similaridade semântica. Chunks maiores (bloco de tabela inteiro) diluem o sinal semântico de cada linha específica.</w:t>
      </w:r>
    </w:p>
    <w:p>
      <w:pPr>
        <w:spacing w:after="0" w:before="200"/>
      </w:pPr>
      <w:r>
        <w:t xml:space="preserve"/>
      </w:r>
    </w:p>
    <w:p>
      <w:pPr>
        <w:pStyle w:val="Heading3"/>
        <w:spacing w:after="80" w:before="200"/>
      </w:pPr>
      <w:r>
        <w:rPr>
          <w:rFonts w:ascii="Arial" w:cs="Arial" w:eastAsia="Arial" w:hAnsi="Arial"/>
          <w:b/>
          <w:bCs/>
          <w:color w:val="1F3864"/>
          <w:sz w:val="22"/>
          <w:szCs w:val="22"/>
        </w:rPr>
        <w:t xml:space="preserve">Tipo B — Procedimentos e Políticas (texto narrativo)</w:t>
      </w:r>
    </w:p>
    <w:p>
      <w:pPr>
        <w:spacing w:after="80" w:before="80"/>
      </w:pPr>
      <w:r>
        <w:rPr>
          <w:rFonts w:ascii="Arial" w:cs="Arial" w:eastAsia="Arial" w:hAnsi="Arial"/>
          <w:b/>
          <w:bCs/>
          <w:color w:val="1A1A1A"/>
          <w:sz w:val="20"/>
          <w:szCs w:val="20"/>
        </w:rPr>
        <w:t xml:space="preserve">Tamanho de chunk: </w:t>
      </w:r>
      <w:r>
        <w:rPr>
          <w:rFonts w:ascii="Arial" w:cs="Arial" w:eastAsia="Arial" w:hAnsi="Arial"/>
          <w:color w:val="1A1A1A"/>
          <w:sz w:val="20"/>
          <w:szCs w:val="20"/>
        </w:rPr>
        <w:t xml:space="preserve">400-600 tokens com overlap de 100 tokens</w:t>
      </w:r>
    </w:p>
    <w:p>
      <w:pPr>
        <w:spacing w:after="80" w:before="80"/>
      </w:pPr>
      <w:r>
        <w:rPr>
          <w:rFonts w:ascii="Arial" w:cs="Arial" w:eastAsia="Arial" w:hAnsi="Arial"/>
          <w:b/>
          <w:bCs/>
          <w:color w:val="1A1A1A"/>
          <w:sz w:val="20"/>
          <w:szCs w:val="20"/>
        </w:rPr>
        <w:t xml:space="preserve">Estratégia: </w:t>
      </w:r>
      <w:r>
        <w:rPr>
          <w:rFonts w:ascii="Arial" w:cs="Arial" w:eastAsia="Arial" w:hAnsi="Arial"/>
          <w:color w:val="1A1A1A"/>
          <w:sz w:val="20"/>
          <w:szCs w:val="20"/>
        </w:rPr>
        <w:t xml:space="preserve">chunking semântico por parágrafo/seção, respeitando quebras naturais do documento. O overlap de 100 tokens garante que uma frase no final de um chunk que contextualiza o início do próximo não seja perdida.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F0F7F0" w:val="clear"/>
            <w:tcMar>
              <w:top w:type="dxa" w:w="120"/>
              <w:left w:type="dxa" w:w="160"/>
              <w:bottom w:type="dxa" w:w="120"/>
              <w:right w:type="dxa" w:w="160"/>
            </w:tcMar>
          </w:tcPr>
          <w:p>
            <w:pPr>
              <w:spacing w:after="80" w:before="0"/>
            </w:pPr>
            <w:r>
              <w:rPr>
                <w:rFonts w:ascii="Arial" w:cs="Arial" w:eastAsia="Arial" w:hAnsi="Arial"/>
                <w:b/>
                <w:bCs/>
                <w:color w:val="1F3864"/>
                <w:sz w:val="20"/>
                <w:szCs w:val="20"/>
              </w:rPr>
              <w:t xml:space="preserve">Exemplo de chunk de procedimento (Tipo B)</w:t>
            </w:r>
          </w:p>
          <w:p>
            <w:pPr>
              <w:spacing w:after="80" w:before="80"/>
            </w:pPr>
            <w:r>
              <w:rPr>
                <w:rFonts w:ascii="Arial" w:cs="Arial" w:eastAsia="Arial" w:hAnsi="Arial"/>
                <w:color w:val="1A1A1A"/>
                <w:sz w:val="20"/>
                <w:szCs w:val="20"/>
              </w:rPr>
              <w:t xml:space="preserve">[Documento: Manual_Reclamacoes_v3.pdf | Seção: 4.2 Procedimento de Avaria | Página: 12]</w:t>
            </w:r>
          </w:p>
          <w:p>
            <w:pPr>
              <w:spacing w:after="80" w:before="80"/>
            </w:pPr>
            <w:r>
              <w:rPr>
                <w:rFonts w:ascii="Arial" w:cs="Arial" w:eastAsia="Arial" w:hAnsi="Arial"/>
                <w:color w:val="1A1A1A"/>
                <w:sz w:val="20"/>
                <w:szCs w:val="20"/>
              </w:rPr>
              <w:t xml:space="preserve">O cliente deve registrar a ocorrência em até 48 horas após o recebimento da carga. O registro pode ser feito pelo portal do cliente ou pelo telefone 0800-XXX-XXXX. Após o registro, a NovaTech tem 3 dias úteis para enviar um vistoriador. ...</w:t>
            </w:r>
          </w:p>
        </w:tc>
      </w:tr>
    </w:tbl>
    <w:p>
      <w:pPr>
        <w:spacing w:after="0" w:before="120"/>
      </w:pPr>
      <w:r>
        <w:t xml:space="preserve"/>
      </w:r>
    </w:p>
    <w:p>
      <w:pPr>
        <w:spacing w:after="80" w:before="80"/>
      </w:pPr>
      <w:r>
        <w:rPr>
          <w:rFonts w:ascii="Arial" w:cs="Arial" w:eastAsia="Arial" w:hAnsi="Arial"/>
          <w:b/>
          <w:bCs/>
          <w:color w:val="1A1A1A"/>
          <w:sz w:val="20"/>
          <w:szCs w:val="20"/>
        </w:rPr>
        <w:t xml:space="preserve">Justificativa: </w:t>
      </w:r>
      <w:r>
        <w:rPr>
          <w:rFonts w:ascii="Arial" w:cs="Arial" w:eastAsia="Arial" w:hAnsi="Arial"/>
          <w:color w:val="1A1A1A"/>
          <w:sz w:val="20"/>
          <w:szCs w:val="20"/>
        </w:rPr>
        <w:t xml:space="preserve">procedimentos têm coesão narrativa — partir uma instrução de 5 passos em 5 chunks de 1 passo cada fragmenta o procedimento e força o retrieval a recuperar 5 chunks para reconstruir a sequência. Um chunk de 500 tokens captura 3-5 passos de forma coesa.</w:t>
      </w:r>
    </w:p>
    <w:p>
      <w:pPr>
        <w:spacing w:after="0" w:before="200"/>
      </w:pPr>
      <w:r>
        <w:t xml:space="preserve"/>
      </w:r>
    </w:p>
    <w:p>
      <w:pPr>
        <w:pStyle w:val="Heading3"/>
        <w:spacing w:after="80" w:before="200"/>
      </w:pPr>
      <w:r>
        <w:rPr>
          <w:rFonts w:ascii="Arial" w:cs="Arial" w:eastAsia="Arial" w:hAnsi="Arial"/>
          <w:b/>
          <w:bCs/>
          <w:color w:val="1F3864"/>
          <w:sz w:val="22"/>
          <w:szCs w:val="22"/>
        </w:rPr>
        <w:t xml:space="preserve">Tipo C — Regras com Exceções (políticas complexas)</w:t>
      </w:r>
    </w:p>
    <w:p>
      <w:pPr>
        <w:spacing w:after="80" w:before="80"/>
      </w:pPr>
      <w:r>
        <w:rPr>
          <w:rFonts w:ascii="Arial" w:cs="Arial" w:eastAsia="Arial" w:hAnsi="Arial"/>
          <w:b/>
          <w:bCs/>
          <w:color w:val="1A1A1A"/>
          <w:sz w:val="20"/>
          <w:szCs w:val="20"/>
        </w:rPr>
        <w:t xml:space="preserve">Tamanho de chunk: </w:t>
      </w:r>
      <w:r>
        <w:rPr>
          <w:rFonts w:ascii="Arial" w:cs="Arial" w:eastAsia="Arial" w:hAnsi="Arial"/>
          <w:color w:val="1A1A1A"/>
          <w:sz w:val="20"/>
          <w:szCs w:val="20"/>
        </w:rPr>
        <w:t xml:space="preserve">600-800 tokens (chunks maiores, excepcionalmente até 1.000)</w:t>
      </w:r>
    </w:p>
    <w:p>
      <w:pPr>
        <w:spacing w:after="80" w:before="80"/>
      </w:pPr>
      <w:r>
        <w:rPr>
          <w:rFonts w:ascii="Arial" w:cs="Arial" w:eastAsia="Arial" w:hAnsi="Arial"/>
          <w:b/>
          <w:bCs/>
          <w:color w:val="1A1A1A"/>
          <w:sz w:val="20"/>
          <w:szCs w:val="20"/>
        </w:rPr>
        <w:t xml:space="preserve">Estratégia: </w:t>
      </w:r>
      <w:r>
        <w:rPr>
          <w:rFonts w:ascii="Arial" w:cs="Arial" w:eastAsia="Arial" w:hAnsi="Arial"/>
          <w:color w:val="1A1A1A"/>
          <w:sz w:val="20"/>
          <w:szCs w:val="20"/>
        </w:rPr>
        <w:t xml:space="preserve">preservar o parágrafo de regra geral e todos os parágrafos de exceção no mesmo chunk. Se a seção de exceções ultrapassar 800 tokens, criar um chunk de 'regra geral' e um chunk de 'exceções' com overlap que inclui a regra geral.</w:t>
      </w:r>
    </w:p>
    <w:p>
      <w:pPr>
        <w:spacing w:after="0" w:before="120"/>
      </w:pPr>
      <w:r>
        <w:t xml:space="preserve"/>
      </w:r>
    </w:p>
    <w:p>
      <w:pPr>
        <w:spacing w:after="80" w:before="80"/>
      </w:pPr>
      <w:r>
        <w:rPr>
          <w:rFonts w:ascii="Arial" w:cs="Arial" w:eastAsia="Arial" w:hAnsi="Arial"/>
          <w:b/>
          <w:bCs/>
          <w:color w:val="1A1A1A"/>
          <w:sz w:val="20"/>
          <w:szCs w:val="20"/>
        </w:rPr>
        <w:t xml:space="preserve">Justificativa: </w:t>
      </w:r>
      <w:r>
        <w:rPr>
          <w:rFonts w:ascii="Arial" w:cs="Arial" w:eastAsia="Arial" w:hAnsi="Arial"/>
          <w:color w:val="1A1A1A"/>
          <w:sz w:val="20"/>
          <w:szCs w:val="20"/>
        </w:rPr>
        <w:t xml:space="preserve">o efeito 'lost in the middle' é especialmente perigoso aqui. Se a exceção ('exceto para carga refrigerada, onde o prazo é de 7 dias') está num chunk diferente da regra ('o prazo padrão é 5 dias úteis'), o retrieval pode trazer apenas o chunk da regra — e o assistente responde incorretamente para o caso de carga refrigerada.</w:t>
      </w:r>
    </w:p>
    <w:p>
      <w:pPr>
        <w:spacing w:after="0" w:before="24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4.2  Mitigação do Efeito 'Lost in the Middle'</w:t>
      </w:r>
    </w:p>
    <w:p>
      <w:pPr>
        <w:spacing w:after="0" w:before="80"/>
      </w:pPr>
      <w:r>
        <w:t xml:space="preserve"/>
      </w:r>
    </w:p>
    <w:p>
      <w:pPr>
        <w:spacing w:after="80" w:before="80"/>
      </w:pPr>
      <w:r>
        <w:rPr>
          <w:rFonts w:ascii="Arial" w:cs="Arial" w:eastAsia="Arial" w:hAnsi="Arial"/>
          <w:color w:val="1A1A1A"/>
          <w:sz w:val="20"/>
          <w:szCs w:val="20"/>
        </w:rPr>
        <w:t xml:space="preserve">Independentemente do tamanho do chunk, o posicionamento dos chunks no prompt afeta a qualidade da resposta. Chunks no início e no final do bloco de contexto são mais utilizados pelo modelo do que chunks no meio.</w:t>
      </w:r>
    </w:p>
    <w:p>
      <w:pPr>
        <w:spacing w:after="0" w:before="120"/>
      </w:pPr>
      <w:r>
        <w:t xml:space="preserve"/>
      </w:r>
    </w:p>
    <w:p>
      <w:pPr>
        <w:spacing w:after="80" w:before="80"/>
      </w:pPr>
      <w:r>
        <w:rPr>
          <w:rFonts w:ascii="Arial" w:cs="Arial" w:eastAsia="Arial" w:hAnsi="Arial"/>
          <w:b/>
          <w:bCs/>
          <w:color w:val="1A1A1A"/>
          <w:sz w:val="20"/>
          <w:szCs w:val="20"/>
        </w:rPr>
        <w:t xml:space="preserve">Estratégias de posicionamento: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Chunks mais relevantes nas posições âncora: </w:t>
      </w:r>
      <w:r>
        <w:rPr>
          <w:rFonts w:ascii="Arial" w:cs="Arial" w:eastAsia="Arial" w:hAnsi="Arial"/>
          <w:color w:val="1A1A1A"/>
          <w:sz w:val="20"/>
          <w:szCs w:val="20"/>
        </w:rPr>
        <w:t xml:space="preserve">o chunk com o maior score de similaridade deve ficar na primeira posição do bloco de contexto. O segundo mais relevante deve ficar na última posição. Os demais preenchem o meio.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Limitar o número de chunks enviados: </w:t>
      </w:r>
      <w:r>
        <w:rPr>
          <w:rFonts w:ascii="Arial" w:cs="Arial" w:eastAsia="Arial" w:hAnsi="Arial"/>
          <w:color w:val="1A1A1A"/>
          <w:sz w:val="20"/>
          <w:szCs w:val="20"/>
        </w:rPr>
        <w:t xml:space="preserve">enviar 15-25 chunks (não os 200 teoricamente possíveis) para manter a densidade de informação relevante alta e reduzir o 'ruído' de chunks tangencialmente relacionados.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Estratégia a ser validada no spike técnico: </w:t>
      </w:r>
      <w:r>
        <w:rPr>
          <w:rFonts w:ascii="Arial" w:cs="Arial" w:eastAsia="Arial" w:hAnsi="Arial"/>
          <w:color w:val="1A1A1A"/>
          <w:sz w:val="20"/>
          <w:szCs w:val="20"/>
        </w:rPr>
        <w:t xml:space="preserve">testar se incluir o score de similaridade no prompt (‘este trecho tem relevância 0.89 para sua pergunta’) melhora a qualidade das respostas em queries de lookup. Não há evidência empírica de eficácia com GPT-4o — não assumir eficácia antes da validação.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Redundância controlada: </w:t>
      </w:r>
      <w:r>
        <w:rPr>
          <w:rFonts w:ascii="Arial" w:cs="Arial" w:eastAsia="Arial" w:hAnsi="Arial"/>
          <w:color w:val="1A1A1A"/>
          <w:sz w:val="20"/>
          <w:szCs w:val="20"/>
        </w:rPr>
        <w:t xml:space="preserve">para perguntas de lookup (Tipo A), enviar apenas 3-5 chunks altamente relevantes em vez de 20 chunks moderadamente relevantes. Menos contexto, mais sinal.</w:t>
      </w:r>
    </w:p>
    <w:p>
      <w:pPr>
        <w:spacing w:after="0" w:before="24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4.3  Sumário das Recomendações de Chunking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Tipo de conteúdo</w:t>
            </w:r>
          </w:p>
        </w:tc>
        <w:tc>
          <w:tcPr>
            <w:tcW w:type="dxa" w:w="22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Tamanho do chunk</w:t>
            </w:r>
          </w:p>
        </w:tc>
        <w:tc>
          <w:tcPr>
            <w:tcW w:type="dxa" w:w="16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Overlap</w:t>
            </w:r>
          </w:p>
        </w:tc>
        <w:tc>
          <w:tcPr>
            <w:tcW w:type="dxa" w:w="316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Estratégia-chave</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Linhas de tabela (frete, SLA)</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50-100 tokens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 (sem overlap)</w:t>
            </w:r>
          </w:p>
        </w:tc>
        <w:tc>
          <w:tcPr>
            <w:tcW w:type="dxa" w:w="3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Serialização linha+cabeçalho; chunk = 1 linha</w:t>
            </w:r>
          </w:p>
        </w:tc>
      </w:tr>
      <w:tr>
        <w:tc>
          <w:tcPr>
            <w:tcW w:type="dxa" w:w="24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Procedimentos operacionais</w:t>
            </w:r>
          </w:p>
        </w:tc>
        <w:tc>
          <w:tcPr>
            <w:tcW w:type="dxa" w:w="22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400-600 tokens</w:t>
            </w:r>
          </w:p>
        </w:tc>
        <w:tc>
          <w:tcPr>
            <w:tcW w:type="dxa" w:w="1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100 tokens</w:t>
            </w:r>
          </w:p>
        </w:tc>
        <w:tc>
          <w:tcPr>
            <w:tcW w:type="dxa" w:w="31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Semântico por parágrafo; respeitar numeração de passos</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Políticas com exceções</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600-800 tokens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150 tokens</w:t>
            </w:r>
          </w:p>
        </w:tc>
        <w:tc>
          <w:tcPr>
            <w:tcW w:type="dxa" w:w="3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Preservar regra + exceções no mesmo chunk</w:t>
            </w:r>
          </w:p>
        </w:tc>
      </w:tr>
      <w:tr>
        <w:tc>
          <w:tcPr>
            <w:tcW w:type="dxa" w:w="24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Fluxogramas (após visão)</w:t>
            </w:r>
          </w:p>
        </w:tc>
        <w:tc>
          <w:tcPr>
            <w:tcW w:type="dxa" w:w="22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200-400 tokens</w:t>
            </w:r>
          </w:p>
        </w:tc>
        <w:tc>
          <w:tcPr>
            <w:tcW w:type="dxa" w:w="1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0</w:t>
            </w:r>
          </w:p>
        </w:tc>
        <w:tc>
          <w:tcPr>
            <w:tcW w:type="dxa" w:w="31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Chunk = descrição textual do fluxograma completo</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PDFs escaneados (após OCR)</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300-500 tokens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 tokens</w:t>
            </w:r>
          </w:p>
        </w:tc>
        <w:tc>
          <w:tcPr>
            <w:tcW w:type="dxa" w:w="3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Chunks menores para acomodar ruído residual de OCR</w:t>
            </w:r>
          </w:p>
        </w:tc>
      </w:tr>
      <w:tr>
        <w:tc>
          <w:tcPr>
            <w:tcW w:type="dxa" w:w="24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Páginas Confluence</w:t>
            </w:r>
          </w:p>
        </w:tc>
        <w:tc>
          <w:tcPr>
            <w:tcW w:type="dxa" w:w="22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400-600 tokens</w:t>
            </w:r>
          </w:p>
        </w:tc>
        <w:tc>
          <w:tcPr>
            <w:tcW w:type="dxa" w:w="1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100 tokens</w:t>
            </w:r>
          </w:p>
        </w:tc>
        <w:tc>
          <w:tcPr>
            <w:tcW w:type="dxa" w:w="31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Incluir breadcrumb de hierarquia no início do chunk</w:t>
            </w:r>
          </w:p>
        </w:tc>
      </w:tr>
    </w:tbl>
    <w:p>
      <w:pPr>
        <w:spacing w:after="0" w:before="240"/>
      </w:pPr>
      <w:r>
        <w:t xml:space="preserve"/>
      </w:r>
    </w:p>
    <w:p>
      <w:r>
        <w:br w:type="page"/>
      </w:r>
    </w:p>
    <w:p>
      <w:pPr>
        <w:pStyle w:val="Heading1"/>
        <w:spacing w:after="120" w:before="360"/>
      </w:pPr>
      <w:r>
        <w:rPr>
          <w:rFonts w:ascii="Arial" w:cs="Arial" w:eastAsia="Arial" w:hAnsi="Arial"/>
          <w:b/>
          <w:bCs/>
          <w:color w:val="1F3864"/>
          <w:sz w:val="32"/>
          <w:szCs w:val="32"/>
        </w:rPr>
        <w:t xml:space="preserve">5  Riscos e Mitigações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Risco</w:t>
            </w:r>
          </w:p>
        </w:tc>
        <w:tc>
          <w:tcPr>
            <w:tcW w:type="dxa" w:w="16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Probabilidade</w:t>
            </w:r>
          </w:p>
        </w:tc>
        <w:tc>
          <w:tcPr>
            <w:tcW w:type="dxa" w:w="140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Impacto</w:t>
            </w:r>
          </w:p>
        </w:tc>
        <w:tc>
          <w:tcPr>
            <w:tcW w:type="dxa" w:w="3560"/>
            <w:tcBorders>
              <w:top w:val="single" w:color="4472C4" w:sz="1"/>
              <w:left w:val="single" w:color="4472C4" w:sz="1"/>
              <w:bottom w:val="single" w:color="4472C4" w:sz="1"/>
              <w:right w:val="single" w:color="4472C4" w:sz="1"/>
            </w:tcBorders>
            <w:shd w:fill="1F3864" w:val="clear"/>
            <w:tcMar>
              <w:top w:type="dxa" w:w="100"/>
              <w:left w:type="dxa" w:w="120"/>
              <w:bottom w:type="dxa" w:w="100"/>
              <w:right w:type="dxa" w:w="120"/>
            </w:tcMar>
          </w:tcPr>
          <w:p>
            <w:r>
              <w:rPr>
                <w:rFonts w:ascii="Arial" w:cs="Arial" w:eastAsia="Arial" w:hAnsi="Arial"/>
                <w:b/>
                <w:bCs/>
                <w:color w:val="FFFFFF"/>
                <w:sz w:val="18"/>
                <w:szCs w:val="18"/>
              </w:rPr>
              <w:t xml:space="preserve">Mitigação</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OCR de baixa qualidade em documentos escaneados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Alta</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Alto</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Pipeline de pré-processamento + score de confiança + revisão humana para score &lt; 70%</w:t>
            </w:r>
          </w:p>
        </w:tc>
      </w:tr>
      <w:tr>
        <w:tc>
          <w:tcPr>
            <w:tcW w:type="dxa" w:w="28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Desatualização das planilhas mensais</w:t>
            </w:r>
          </w:p>
        </w:tc>
        <w:tc>
          <w:tcPr>
            <w:tcW w:type="dxa" w:w="1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Média</w:t>
            </w:r>
          </w:p>
        </w:tc>
        <w:tc>
          <w:tcPr>
            <w:tcW w:type="dxa" w:w="14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Alto</w:t>
            </w:r>
          </w:p>
        </w:tc>
        <w:tc>
          <w:tcPr>
            <w:tcW w:type="dxa" w:w="35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Job automático de reindexação com detecção por hash</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Fragmentação de procedimentos multi-página no Confluence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Alta</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Médio</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Estratégia chunk pai+filhos com grafo de dependências</w:t>
            </w:r>
          </w:p>
        </w:tc>
      </w:tr>
      <w:tr>
        <w:tc>
          <w:tcPr>
            <w:tcW w:type="dxa" w:w="28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Alucinação em cálculos de frete (valores específicos)</w:t>
            </w:r>
          </w:p>
        </w:tc>
        <w:tc>
          <w:tcPr>
            <w:tcW w:type="dxa" w:w="1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Média</w:t>
            </w:r>
          </w:p>
        </w:tc>
        <w:tc>
          <w:tcPr>
            <w:tcW w:type="dxa" w:w="14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Alto</w:t>
            </w:r>
          </w:p>
        </w:tc>
        <w:tc>
          <w:tcPr>
            <w:tcW w:type="dxa" w:w="35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Fallback explícito: assistente cita faixa e indica planilha-fonte</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Crescimento descontrolado do contexto em sessões longas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Baixa</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Médio</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Sliding window com sumarização automática</w:t>
            </w:r>
          </w:p>
        </w:tc>
      </w:tr>
      <w:tr>
        <w:tc>
          <w:tcPr>
            <w:tcW w:type="dxa" w:w="28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Macros Confluence sem renderização</w:t>
            </w:r>
          </w:p>
        </w:tc>
        <w:tc>
          <w:tcPr>
            <w:tcW w:type="dxa" w:w="1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Alta</w:t>
            </w:r>
          </w:p>
        </w:tc>
        <w:tc>
          <w:tcPr>
            <w:tcW w:type="dxa" w:w="14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Médio</w:t>
            </w:r>
          </w:p>
        </w:tc>
        <w:tc>
          <w:tcPr>
            <w:tcW w:type="dxa" w:w="35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Ingestão via API REST + processamento por tipo de macro</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Governança de acesso: pipeline indexa documentos sem distinção de permissão. Atendente pode receber via RAG informação de documentos com acesso restrito (contratos com clientes específicos, políticas de RH indexadas junto com políticas de atendimento).</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Alta (NovaTech tem 1.200 funcionários e certamente possui controle de acesso heterogêneo)</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Alto (risco de compliance e privacidade)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Definir escopo de indexação antes da ingestão: listar explicitamente quais diretórios/spaces serão indexados. Excluir documentos com permissão restrita. Documentar o escopo como decisão formal aprovada pelo Compliance da NovaTech.</w:t>
            </w:r>
          </w:p>
        </w:tc>
      </w:tr>
      <w:tr>
        <w:tc>
          <w:tcPr>
            <w:tcW w:type="dxa" w:w="28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Drift de qualidade silencioso: PDFs e wiki atualizados continuamente sem reindexação automática. Assistente responderá com versões desatualizadas com alta confiança, sem sinal visual para o atendente.</w:t>
            </w:r>
          </w:p>
        </w:tc>
        <w:tc>
          <w:tcPr>
            <w:tcW w:type="dxa" w:w="1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Alta (3 áreas atualizam docs mensalmente sem processo unificado)</w:t>
            </w:r>
          </w:p>
        </w:tc>
        <w:tc>
          <w:tcPr>
            <w:tcW w:type="dxa" w:w="14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Alto (respostas desatualizadas em produção são invisíveis e sistêmicas)</w:t>
            </w:r>
          </w:p>
        </w:tc>
        <w:tc>
          <w:tcPr>
            <w:tcW w:type="dxa" w:w="35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Estender job de detecção por hash para PDFs e wiki (não só planilhas). SharePoint: webhooks de modificação. Confluence: API de histórico de versão. SLA de reindexação: máximo 24h após modificação do documento-fonte.</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Cardinalidade de chunks de tabela: tabela de frete com 80 linhas gera 80 chunks semanticamente similares. Query 'prazo para o Nordeste?' pode trazer mix aleatório de regiões no retrieval top-K em vez da linha correta.</w:t>
            </w:r>
          </w:p>
        </w:tc>
        <w:tc>
          <w:tcPr>
            <w:tcW w:type="dxa" w:w="1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Alta (inerente ao chunking linha-por-linha de tabelas grandes)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Médio-Alto (valor errado retornado com alta confiança aparente)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Enriquecer embeddings com metadados estruturados de linha (região, perfil, faixa de peso) indexados separadamente. Avaliar hybrid search (vetor + filtro por metadado) no Azure AI Search para queries de lookup de tabela.</w:t>
            </w:r>
          </w:p>
        </w:tc>
      </w:tr>
      <w:tr>
        <w:tc>
          <w:tcPr>
            <w:tcW w:type="dxa" w:w="28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Latência incompatível com atendimento em tempo real: pipeline completo pode ter 5-15s por query. Acima de 10s é inaceitável operacionalmente para atendimento ao cliente no Teams.</w:t>
            </w:r>
          </w:p>
        </w:tc>
        <w:tc>
          <w:tcPr>
            <w:tcW w:type="dxa" w:w="16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Média (depende da infraestrutura Azure e do tamanho do contexto por query)</w:t>
            </w:r>
          </w:p>
        </w:tc>
        <w:tc>
          <w:tcPr>
            <w:tcW w:type="dxa" w:w="140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Alto (impacto direto na adoção pelo time de atendimento)</w:t>
            </w:r>
          </w:p>
        </w:tc>
        <w:tc>
          <w:tcPr>
            <w:tcW w:type="dxa" w:w="356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color w:val="1A1A1A"/>
                <w:sz w:val="18"/>
                <w:szCs w:val="18"/>
              </w:rPr>
              <w:t xml:space="preserve">Medir latência end-to-end como métrica obrigatória no spike (target: P95 &lt; 5s). Estratégias: cache de embeddings de queries frequentes, redução do número de chunks por query, streaming de resposta para feedback imediato.</w:t>
            </w:r>
          </w:p>
        </w:tc>
      </w:tr>
    </w:tbl>
    <w:p>
      <w:pPr>
        <w:spacing w:after="0" w:before="240"/>
      </w:pPr>
      <w:r>
        <w:t xml:space="preserve"/>
      </w:r>
    </w:p>
    <w:p>
      <w:r>
        <w:br w:type="page"/>
      </w:r>
    </w:p>
    <w:p>
      <w:pPr>
        <w:pStyle w:val="Heading1"/>
        <w:spacing w:after="120" w:before="360"/>
      </w:pPr>
      <w:r>
        <w:rPr>
          <w:rFonts w:ascii="Arial" w:cs="Arial" w:eastAsia="Arial" w:hAnsi="Arial"/>
          <w:b/>
          <w:bCs/>
          <w:color w:val="1F3864"/>
          <w:sz w:val="32"/>
          <w:szCs w:val="32"/>
        </w:rPr>
        <w:t xml:space="preserve">6  Próximos Passos Recomendados</w:t>
      </w:r>
    </w:p>
    <w:p>
      <w:pPr>
        <w:spacing w:after="0" w:before="80"/>
      </w:pPr>
      <w:r>
        <w:t xml:space="preserve"/>
      </w:r>
    </w:p>
    <w:p>
      <w:pPr>
        <w:spacing w:after="80" w:before="80"/>
      </w:pPr>
      <w:r>
        <w:rPr>
          <w:rFonts w:ascii="Arial" w:cs="Arial" w:eastAsia="Arial" w:hAnsi="Arial"/>
          <w:color w:val="1A1A1A"/>
          <w:sz w:val="20"/>
          <w:szCs w:val="20"/>
        </w:rPr>
        <w:t xml:space="preserve">Para validar as estratégias descritas antes do desenvolvimento completo, recomendamos um </w:t>
      </w:r>
      <w:r>
        <w:rPr>
          <w:rFonts w:ascii="Arial" w:cs="Arial" w:eastAsia="Arial" w:hAnsi="Arial"/>
          <w:b/>
          <w:bCs/>
          <w:color w:val="1A1A1A"/>
          <w:sz w:val="20"/>
          <w:szCs w:val="20"/>
        </w:rPr>
        <w:t xml:space="preserve">spike técnico de 2 semanas</w:t>
      </w:r>
      <w:r>
        <w:rPr>
          <w:rFonts w:ascii="Arial" w:cs="Arial" w:eastAsia="Arial" w:hAnsi="Arial"/>
          <w:color w:val="1A1A1A"/>
          <w:sz w:val="20"/>
          <w:szCs w:val="20"/>
        </w:rPr>
        <w:t xml:space="preserve"> com os seguintes entregáveis:</w:t>
      </w:r>
    </w:p>
    <w:p>
      <w:pPr>
        <w:spacing w:after="0" w:before="120"/>
      </w:pPr>
      <w:r>
        <w:t xml:space="preserve"/>
      </w:r>
    </w:p>
    <w:p>
      <w:pPr>
        <w:pStyle w:val="ListParagraph"/>
        <w:numPr>
          <w:ilvl w:val="0"/>
          <w:numId w:val="2"/>
        </w:numPr>
        <w:spacing w:after="60" w:before="60"/>
        <w:ind w:left="720" w:hanging="360"/>
      </w:pPr>
      <w:r>
        <w:rPr>
          <w:rFonts w:ascii="Arial" w:cs="Arial" w:eastAsia="Arial" w:hAnsi="Arial"/>
          <w:b/>
          <w:bCs/>
          <w:color w:val="1A1A1A"/>
          <w:sz w:val="20"/>
          <w:szCs w:val="20"/>
        </w:rPr>
        <w:t xml:space="preserve">Amostragem da base: </w:t>
      </w:r>
      <w:r>
        <w:rPr>
          <w:rFonts w:ascii="Arial" w:cs="Arial" w:eastAsia="Arial" w:hAnsi="Arial"/>
          <w:color w:val="1A1A1A"/>
          <w:sz w:val="20"/>
          <w:szCs w:val="20"/>
        </w:rPr>
        <w:t xml:space="preserve">selecionar 5 PDFs com tabelas complexas, 2 PDFs escaneados, 10 páginas Confluence e 3 planilhas para testes de ingestão.</w:t>
      </w:r>
    </w:p>
    <w:p>
      <w:pPr>
        <w:pStyle w:val="ListParagraph"/>
        <w:numPr>
          <w:ilvl w:val="0"/>
          <w:numId w:val="2"/>
        </w:numPr>
        <w:spacing w:after="60" w:before="60"/>
        <w:ind w:left="720" w:hanging="360"/>
      </w:pPr>
      <w:r>
        <w:rPr>
          <w:rFonts w:ascii="Arial" w:cs="Arial" w:eastAsia="Arial" w:hAnsi="Arial"/>
          <w:b/>
          <w:bCs/>
          <w:color w:val="1A1A1A"/>
          <w:sz w:val="20"/>
          <w:szCs w:val="20"/>
        </w:rPr>
        <w:t xml:space="preserve">Benchmark de extração: </w:t>
      </w:r>
      <w:r>
        <w:rPr>
          <w:rFonts w:ascii="Arial" w:cs="Arial" w:eastAsia="Arial" w:hAnsi="Arial"/>
          <w:color w:val="1A1A1A"/>
          <w:sz w:val="20"/>
          <w:szCs w:val="20"/>
        </w:rPr>
        <w:t xml:space="preserve">medir acurácia do pdfplumber vs. PyMuPDF nas tabelas selecionadas. Medir qualidade do OCR (Tesseract vs. Azure Document Intelligence).</w:t>
      </w:r>
    </w:p>
    <w:p>
      <w:pPr>
        <w:pStyle w:val="ListParagraph"/>
        <w:numPr>
          <w:ilvl w:val="0"/>
          <w:numId w:val="2"/>
        </w:numPr>
        <w:spacing w:after="60" w:before="60"/>
        <w:ind w:left="720" w:hanging="360"/>
      </w:pPr>
      <w:r>
        <w:rPr>
          <w:rFonts w:ascii="Arial" w:cs="Arial" w:eastAsia="Arial" w:hAnsi="Arial"/>
          <w:b/>
          <w:bCs/>
          <w:color w:val="1A1A1A"/>
          <w:sz w:val="20"/>
          <w:szCs w:val="20"/>
        </w:rPr>
        <w:t xml:space="preserve">Teste de retrieval com queries reais: </w:t>
      </w:r>
      <w:r>
        <w:rPr>
          <w:rFonts w:ascii="Arial" w:cs="Arial" w:eastAsia="Arial" w:hAnsi="Arial"/>
          <w:color w:val="1A1A1A"/>
          <w:sz w:val="20"/>
          <w:szCs w:val="20"/>
        </w:rPr>
        <w:t xml:space="preserve">coletar 20 perguntas reais do time de atendimento e medir precision@3 (3 primeiros chunks recuperados) com diferentes tamanhos de chunk (200, 500, 800 tokens).</w:t>
      </w:r>
    </w:p>
    <w:p>
      <w:pPr>
        <w:pStyle w:val="ListParagraph"/>
        <w:numPr>
          <w:ilvl w:val="0"/>
          <w:numId w:val="2"/>
        </w:numPr>
        <w:spacing w:after="60" w:before="60"/>
        <w:ind w:left="720" w:hanging="360"/>
      </w:pPr>
      <w:r>
        <w:rPr>
          <w:rFonts w:ascii="Arial" w:cs="Arial" w:eastAsia="Arial" w:hAnsi="Arial"/>
          <w:b/>
          <w:bCs/>
          <w:color w:val="1A1A1A"/>
          <w:sz w:val="20"/>
          <w:szCs w:val="20"/>
        </w:rPr>
        <w:t xml:space="preserve">Validação do orçamento de contexto: </w:t>
      </w:r>
      <w:r>
        <w:rPr>
          <w:rFonts w:ascii="Arial" w:cs="Arial" w:eastAsia="Arial" w:hAnsi="Arial"/>
          <w:color w:val="1A1A1A"/>
          <w:sz w:val="20"/>
          <w:szCs w:val="20"/>
        </w:rPr>
        <w:t xml:space="preserve">testar o comportamento do GPT-4o com 5, 15 e 25 chunks por query nas perguntas coletadas. Medir qualidade da resposta e custo por query.</w:t>
      </w:r>
    </w:p>
    <w:p>
      <w:pPr>
        <w:pStyle w:val="ListParagraph"/>
        <w:numPr>
          <w:ilvl w:val="0"/>
          <w:numId w:val="2"/>
        </w:numPr>
        <w:spacing w:after="60" w:before="60"/>
        <w:ind w:left="720" w:hanging="360"/>
      </w:pPr>
      <w:r>
        <w:rPr>
          <w:rFonts w:ascii="Arial" w:cs="Arial" w:eastAsia="Arial" w:hAnsi="Arial"/>
          <w:b/>
          <w:bCs/>
          <w:color w:val="1A1A1A"/>
          <w:sz w:val="20"/>
          <w:szCs w:val="20"/>
        </w:rPr>
        <w:t xml:space="preserve">Mapeamento de macros Confluence: </w:t>
      </w:r>
      <w:r>
        <w:rPr>
          <w:rFonts w:ascii="Arial" w:cs="Arial" w:eastAsia="Arial" w:hAnsi="Arial"/>
          <w:color w:val="1A1A1A"/>
          <w:sz w:val="20"/>
          <w:szCs w:val="20"/>
        </w:rPr>
        <w:t xml:space="preserve">inventariar todos os tipos de macro em uso na wiki da NovaTech e classificar os que precisam de tratamento customizado.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D6E4F0" w:val="clear"/>
            <w:tcMar>
              <w:top w:type="dxa" w:w="120"/>
              <w:left w:type="dxa" w:w="160"/>
              <w:bottom w:type="dxa" w:w="120"/>
              <w:right w:type="dxa" w:w="160"/>
            </w:tcMar>
          </w:tcPr>
          <w:p>
            <w:pPr>
              <w:spacing w:after="80" w:before="0"/>
            </w:pPr>
            <w:r>
              <w:rPr>
                <w:rFonts w:ascii="Arial" w:cs="Arial" w:eastAsia="Arial" w:hAnsi="Arial"/>
                <w:b/>
                <w:bCs/>
                <w:color w:val="1F3864"/>
                <w:sz w:val="20"/>
                <w:szCs w:val="20"/>
              </w:rPr>
              <w:t xml:space="preserve">Critério de sucesso do spike</w:t>
            </w:r>
          </w:p>
          <w:p>
            <w:pPr>
              <w:spacing w:after="80" w:before="80"/>
            </w:pPr>
            <w:r>
              <w:rPr>
                <w:rFonts w:ascii="Arial" w:cs="Arial" w:eastAsia="Arial" w:hAnsi="Arial"/>
                <w:color w:val="1A1A1A"/>
                <w:sz w:val="20"/>
                <w:szCs w:val="20"/>
              </w:rPr>
              <w:t xml:space="preserve">Ao final do spike, o time deve conseguir responder corretamente ≥ 80% das 20 perguntas de referência a partir dos documentos de amostra. Caso o threshold não seja atingido, as estratégias de chunking e retrieval devem ser revisadas antes do desenvolvimento da fase completa.</w:t>
            </w:r>
          </w:p>
        </w:tc>
      </w:tr>
    </w:tbl>
    <w:p>
      <w:pPr>
        <w:spacing w:after="0" w:before="400"/>
      </w:pPr>
      <w:r>
        <w:t xml:space="preserve"/>
      </w:r>
    </w:p>
    <w:p>
      <w:pPr>
        <w:pBdr>
          <w:top w:val="single" w:color="2E5FA3" w:sz="4" w:space="6"/>
        </w:pBdr>
        <w:spacing w:after="0" w:before="40"/>
        <w:jc w:val="center"/>
      </w:pPr>
      <w:r>
        <w:rPr>
          <w:rFonts w:ascii="Arial" w:cs="Arial" w:eastAsia="Arial" w:hAnsi="Arial"/>
          <w:i/>
          <w:iCs/>
          <w:color w:val="595959"/>
          <w:sz w:val="16"/>
          <w:szCs w:val="16"/>
        </w:rPr>
        <w:t xml:space="preserve">DB1 Group  ·  Análise Técnica de Viabilidade RAG  ·  NovaTech  ·  Confidencial</w:t>
      </w:r>
    </w:p>
    <w:p>
      <w:pPr>
        <w:spacing w:after="0" w:before="600"/>
      </w:pPr>
      <w:r>
        <w:t xml:space="preserve"/>
      </w:r>
    </w:p>
    <w:p>
      <w:pPr>
        <w:pStyle w:val="Heading2"/>
        <w:pBdr>
          <w:bottom w:val="single" w:color="2E5FA3" w:sz="4" w:space="4"/>
        </w:pBdr>
        <w:spacing w:after="100" w:before="280"/>
      </w:pPr>
      <w:r>
        <w:rPr>
          <w:rFonts w:ascii="Arial" w:cs="Arial" w:eastAsia="Arial" w:hAnsi="Arial"/>
          <w:b/>
          <w:bCs/>
          <w:color w:val="2E5FA3"/>
          <w:sz w:val="26"/>
          <w:szCs w:val="26"/>
        </w:rPr>
        <w:t xml:space="preserve">Controle de Versão</w:t>
      </w:r>
    </w:p>
    <w:p>
      <w:pPr>
        <w:spacing w:after="0" w:before="80"/>
      </w:pPr>
      <w:r>
        <w:t xml:space="preserve"/>
      </w:r>
    </w:p>
    <w:tbl>
      <w:tblPr>
        <w:tblW w:w="9360" w:type="dxa"/>
        <w:tblLayout w:type="fixed"/>
        <w:tblCellMar>
          <w:top w:w="80" w:type="dxa"/>
          <w:bottom w:w="80" w:type="dxa"/>
          <w:left w:w="120" w:type="dxa"/>
          <w:right w:w="120" w:type="dxa"/>
        </w:tblCellMar>
      </w:tblPr>
      <w:tblGrid>
        <w:gridCol w:w="1400"/>
        <w:gridCol w:w="1600"/>
        <w:gridCol w:w="6360"/>
      </w:tblGrid>
      <w:tr>
        <w:trPr>
          <w:tblHeader/>
        </w:trPr>
        <w:tc>
          <w:tcPr>
            <w:tcW w:w="1400" w:type="dxa"/>
            <w:tcBorders>
              <w:top w:val="single" w:color="4472C4" w:sz="1"/>
              <w:left w:val="single" w:color="4472C4" w:sz="1"/>
              <w:bottom w:val="single" w:color="4472C4" w:sz="1"/>
              <w:right w:val="single" w:color="4472C4" w:sz="1"/>
            </w:tcBorders>
            <w:shd w:fill="1F3864" w:val="clear"/>
            <w:tcMar>
              <w:top w:w="100" w:type="dxa"/>
              <w:left w:w="120" w:type="dxa"/>
              <w:bottom w:w="100" w:type="dxa"/>
              <w:right w:w="120" w:type="dxa"/>
            </w:tcMar>
          </w:tcPr>
          <w:p>
            <w:r>
              <w:rPr>
                <w:rFonts w:ascii="Arial" w:cs="Arial" w:eastAsia="Arial" w:hAnsi="Arial"/>
                <w:b/>
                <w:bCs/>
                <w:color w:val="FFFFFF"/>
                <w:sz w:val="18"/>
                <w:szCs w:val="18"/>
              </w:rPr>
              <w:t>Versão</w:t>
            </w:r>
          </w:p>
        </w:tc>
        <w:tc>
          <w:tcPr>
            <w:tcW w:w="1600" w:type="dxa"/>
            <w:tcBorders>
              <w:top w:val="single" w:color="4472C4" w:sz="1"/>
              <w:left w:val="single" w:color="4472C4" w:sz="1"/>
              <w:bottom w:val="single" w:color="4472C4" w:sz="1"/>
              <w:right w:val="single" w:color="4472C4" w:sz="1"/>
            </w:tcBorders>
            <w:shd w:fill="1F3864" w:val="clear"/>
            <w:tcMar>
              <w:top w:w="100" w:type="dxa"/>
              <w:left w:w="120" w:type="dxa"/>
              <w:bottom w:w="100" w:type="dxa"/>
              <w:right w:w="120" w:type="dxa"/>
            </w:tcMar>
          </w:tcPr>
          <w:p>
            <w:r>
              <w:rPr>
                <w:rFonts w:ascii="Arial" w:cs="Arial" w:eastAsia="Arial" w:hAnsi="Arial"/>
                <w:b/>
                <w:bCs/>
                <w:color w:val="FFFFFF"/>
                <w:sz w:val="18"/>
                <w:szCs w:val="18"/>
              </w:rPr>
              <w:t>Data</w:t>
            </w:r>
          </w:p>
        </w:tc>
        <w:tc>
          <w:tcPr>
            <w:tcW w:w="6360" w:type="dxa"/>
            <w:tcBorders>
              <w:top w:val="single" w:color="4472C4" w:sz="1"/>
              <w:left w:val="single" w:color="4472C4" w:sz="1"/>
              <w:bottom w:val="single" w:color="4472C4" w:sz="1"/>
              <w:right w:val="single" w:color="4472C4" w:sz="1"/>
            </w:tcBorders>
            <w:shd w:fill="1F3864" w:val="clear"/>
            <w:tcMar>
              <w:top w:w="100" w:type="dxa"/>
              <w:left w:w="120" w:type="dxa"/>
              <w:bottom w:w="100" w:type="dxa"/>
              <w:right w:w="120" w:type="dxa"/>
            </w:tcMar>
          </w:tcPr>
          <w:p>
            <w:r>
              <w:rPr>
                <w:rFonts w:ascii="Arial" w:cs="Arial" w:eastAsia="Arial" w:hAnsi="Arial"/>
                <w:b/>
                <w:bCs/>
                <w:color w:val="FFFFFF"/>
                <w:sz w:val="18"/>
                <w:szCs w:val="18"/>
              </w:rPr>
              <w:t>Alterações</w:t>
            </w:r>
          </w:p>
        </w:tc>
      </w:tr>
      <w:tr>
        <w:tc>
          <w:tcPr>
            <w:tcW w:w="1400" w:type="dxa"/>
            <w:tcBorders>
              <w:top w:val="single" w:color="C0C0C0" w:sz="1"/>
              <w:left w:val="single" w:color="C0C0C0" w:sz="1"/>
              <w:bottom w:val="single" w:color="C0C0C0" w:sz="1"/>
              <w:right w:val="single" w:color="C0C0C0" w:sz="1"/>
            </w:tcBorders>
            <w:shd w:fill="FFFFFF" w:val="clear"/>
            <w:tcMar>
              <w:top w:w="80" w:type="dxa"/>
              <w:left w:w="120" w:type="dxa"/>
              <w:bottom w:w="80" w:type="dxa"/>
              <w:right w:w="120" w:type="dxa"/>
            </w:tcMar>
          </w:tcPr>
          <w:p>
            <w:r>
              <w:rPr>
                <w:rFonts w:ascii="Arial" w:cs="Arial" w:eastAsia="Arial" w:hAnsi="Arial"/>
                <w:color w:val="1A1A1A"/>
                <w:sz w:val="18"/>
                <w:szCs w:val="18"/>
              </w:rPr>
              <w:t>1.0</w:t>
            </w:r>
          </w:p>
        </w:tc>
        <w:tc>
          <w:tcPr>
            <w:tcW w:w="1600" w:type="dxa"/>
            <w:tcBorders>
              <w:top w:val="single" w:color="C0C0C0" w:sz="1"/>
              <w:left w:val="single" w:color="C0C0C0" w:sz="1"/>
              <w:bottom w:val="single" w:color="C0C0C0" w:sz="1"/>
              <w:right w:val="single" w:color="C0C0C0" w:sz="1"/>
            </w:tcBorders>
            <w:shd w:fill="FFFFFF" w:val="clear"/>
            <w:tcMar>
              <w:top w:w="80" w:type="dxa"/>
              <w:left w:w="120" w:type="dxa"/>
              <w:bottom w:w="80" w:type="dxa"/>
              <w:right w:w="120" w:type="dxa"/>
            </w:tcMar>
          </w:tcPr>
          <w:p>
            <w:r>
              <w:rPr>
                <w:rFonts w:ascii="Arial" w:cs="Arial" w:eastAsia="Arial" w:hAnsi="Arial"/>
                <w:color w:val="1A1A1A"/>
                <w:sz w:val="18"/>
                <w:szCs w:val="18"/>
              </w:rPr>
              <w:t>Junho/2025</w:t>
            </w:r>
          </w:p>
        </w:tc>
        <w:tc>
          <w:tcPr>
            <w:tcW w:w="6360" w:type="dxa"/>
            <w:tcBorders>
              <w:top w:val="single" w:color="C0C0C0" w:sz="1"/>
              <w:left w:val="single" w:color="C0C0C0" w:sz="1"/>
              <w:bottom w:val="single" w:color="C0C0C0" w:sz="1"/>
              <w:right w:val="single" w:color="C0C0C0" w:sz="1"/>
            </w:tcBorders>
            <w:shd w:fill="FFFFFF" w:val="clear"/>
            <w:tcMar>
              <w:top w:w="80" w:type="dxa"/>
              <w:left w:w="120" w:type="dxa"/>
              <w:bottom w:w="80" w:type="dxa"/>
              <w:right w:w="120" w:type="dxa"/>
            </w:tcMar>
          </w:tcPr>
          <w:p>
            <w:r>
              <w:rPr>
                <w:rFonts w:ascii="Arial" w:cs="Arial" w:eastAsia="Arial" w:hAnsi="Arial"/>
                <w:color w:val="1A1A1A"/>
                <w:sz w:val="18"/>
                <w:szCs w:val="18"/>
              </w:rPr>
              <w:t>Versão inicial</w:t>
            </w:r>
          </w:p>
        </w:tc>
      </w:tr>
      <w:tr>
        <w:tc>
          <w:tcPr>
            <w:tcW w:w="1400" w:type="dxa"/>
            <w:tcBorders>
              <w:top w:val="single" w:color="C0C0C0" w:sz="1"/>
              <w:left w:val="single" w:color="C0C0C0" w:sz="1"/>
              <w:bottom w:val="single" w:color="C0C0C0" w:sz="1"/>
              <w:right w:val="single" w:color="C0C0C0" w:sz="1"/>
            </w:tcBorders>
            <w:shd w:fill="E8F4FD" w:val="clear"/>
            <w:tcMar>
              <w:top w:w="80" w:type="dxa"/>
              <w:left w:w="120" w:type="dxa"/>
              <w:bottom w:w="80" w:type="dxa"/>
              <w:right w:w="120" w:type="dxa"/>
            </w:tcMar>
          </w:tcPr>
          <w:p>
            <w:r>
              <w:rPr>
                <w:rFonts w:ascii="Arial" w:cs="Arial" w:eastAsia="Arial" w:hAnsi="Arial"/>
                <w:b/>
                <w:bCs/>
                <w:color w:val="1A1A1A"/>
                <w:sz w:val="18"/>
                <w:szCs w:val="18"/>
              </w:rPr>
              <w:t>2.0</w:t>
            </w:r>
          </w:p>
        </w:tc>
        <w:tc>
          <w:tcPr>
            <w:tcW w:w="1600" w:type="dxa"/>
            <w:tcBorders>
              <w:top w:val="single" w:color="C0C0C0" w:sz="1"/>
              <w:left w:val="single" w:color="C0C0C0" w:sz="1"/>
              <w:bottom w:val="single" w:color="C0C0C0" w:sz="1"/>
              <w:right w:val="single" w:color="C0C0C0" w:sz="1"/>
            </w:tcBorders>
            <w:shd w:fill="E8F4FD" w:val="clear"/>
            <w:tcMar>
              <w:top w:w="80" w:type="dxa"/>
              <w:left w:w="120" w:type="dxa"/>
              <w:bottom w:w="80" w:type="dxa"/>
              <w:right w:w="120" w:type="dxa"/>
            </w:tcMar>
          </w:tcPr>
          <w:p>
            <w:r>
              <w:rPr>
                <w:rFonts w:ascii="Arial" w:cs="Arial" w:eastAsia="Arial" w:hAnsi="Arial"/>
                <w:color w:val="1A1A1A"/>
                <w:sz w:val="18"/>
                <w:szCs w:val="18"/>
              </w:rPr>
              <w:t>Junho/2025</w:t>
            </w:r>
          </w:p>
        </w:tc>
        <w:tc>
          <w:tcPr>
            <w:tcW w:w="6360" w:type="dxa"/>
            <w:tcBorders>
              <w:top w:val="single" w:color="C0C0C0" w:sz="1"/>
              <w:left w:val="single" w:color="C0C0C0" w:sz="1"/>
              <w:bottom w:val="single" w:color="C0C0C0" w:sz="1"/>
              <w:right w:val="single" w:color="C0C0C0" w:sz="1"/>
            </w:tcBorders>
            <w:shd w:fill="E8F4FD" w:val="clear"/>
            <w:tcMar>
              <w:top w:w="80" w:type="dxa"/>
              <w:left w:w="120" w:type="dxa"/>
              <w:bottom w:w="80" w:type="dxa"/>
              <w:right w:w="120" w:type="dxa"/>
            </w:tcMar>
          </w:tcPr>
          <w:p>
            <w:r>
              <w:rPr>
                <w:rFonts w:ascii="Arial" w:cs="Arial" w:eastAsia="Arial" w:hAnsi="Arial"/>
                <w:color w:val="1A1A1A"/>
                <w:sz w:val="18"/>
                <w:szCs w:val="18"/>
              </w:rPr>
              <w:t xml:space="preserve">Estimativas de tokens revisadas: 500 palavras/página nos PDFs e 55 palavras/linha serializada nas planilhas. Overhead de indexação decomposto metodologicamente em 35%, substituindo fator genérico de 60%. Custo operacional e filtro de resolução mínima da pipeline de visão computacional documentados. Complexidade de implementação do grafo Confluence detalhada: rate limiting da API, páginas com permissão restrita, páginas órfãs, estimativa de 3-5 dias de desenvolvimento. Quatro riscos operacionais adicionados: governança de acesso, drift de qualidade silencioso, cardinalidade de chunks em tabelas de frete e latência. Mitigação de lost in the middle diferenciada por tipo de query: lookup com 3-5 chunks e threshold de corte, procedimentos e políticas com 15-25 chunks. Argumento de sessões longas corrigido: threshold baseado em número de turns (8-10), não em total de tokens. Fallback de frete reclassificado de estratégia para limitação conhecida do design.</w:t>
            </w:r>
          </w:p>
        </w:tc>
      </w:tr>
    </w:tbl>
    <w:p>
      <w:pPr>
        <w:spacing w:after="0" w:before="24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DB1 × NovaTech  ·  RAG Viability Analysis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2026-06-04T21:04:51.390Z</dcterms:created>
  <dcterms:modified xsi:type="dcterms:W3CDTF">2026-06-04T21:04:51.390Z</dcterms:modified>
</cp:coreProperties>
</file>

<file path=docProps/custom.xml><?xml version="1.0" encoding="utf-8"?>
<Properties xmlns="http://schemas.openxmlformats.org/officeDocument/2006/custom-properties" xmlns:vt="http://schemas.openxmlformats.org/officeDocument/2006/docPropsVTypes"/>
</file>