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0" w:after="80" w:beforeAutospacing="0" w:afterAutospacing="0"/>
      </w:pPr>
      <w:r>
        <w:rPr>
          <w:rFonts w:ascii="Arial" w:hAnsi="Arial" w:cs="Arial" w:eastAsia="Arial"/>
          <w:b w:val="1"/>
          <w:bCs w:val="1"/>
          <w:color w:val="888888"/>
          <w:sz w:val="22"/>
          <w:szCs w:val="22"/>
        </w:rPr>
        <w:t>NovaTech — Pipeline de RAG</w:t>
      </w:r>
    </w:p>
    <w:p>
      <w:pPr>
        <w:spacing w:before="0" w:after="60" w:beforeAutospacing="0" w:afterAutospacing="0"/>
      </w:pPr>
      <w:r>
        <w:rPr>
          <w:rFonts w:ascii="Arial" w:hAnsi="Arial" w:cs="Arial" w:eastAsia="Arial"/>
          <w:color w:val="888888"/>
          <w:sz w:val="20"/>
          <w:szCs w:val="20"/>
        </w:rPr>
        <w:t xml:space="preserve">Exercício Dev 1.3  |</w:t>
      </w:r>
      <w:r>
        <w:rPr>
          <w:rFonts w:ascii="Arial" w:hAnsi="Arial" w:cs="Arial" w:eastAsia="Arial"/>
          <w:color w:val="888888"/>
          <w:sz w:val="20"/>
          <w:szCs w:val="20"/>
        </w:rPr>
        <w:t xml:space="preserve"> Análise do prompt_builder.py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0" w:shadow="0" w:frame="0" w:color="1F4E79"/>
          <w:right w:val="none" w:sz="0" w:space="0" w:shadow="0" w:frame="0" w:color="auto"/>
          <w:between w:val="none" w:sz="0" w:space="0" w:shadow="0" w:frame="0" w:color="auto"/>
        </w:pBdr>
        <w:spacing w:before="160" w:after="160" w:beforeAutospacing="0" w:afterAutospacing="0"/>
      </w:pPr>
    </w:p>
    <w:p>
      <w:pPr>
        <w:spacing w:before="80" w:after="200" w:beforeAutospacing="0" w:afterAutospacing="0"/>
      </w:pPr>
      <w:r>
        <w:rPr>
          <w:rFonts w:ascii="Arial" w:hAnsi="Arial" w:cs="Arial" w:eastAsia="Arial"/>
          <w:b w:val="1"/>
          <w:bCs w:val="1"/>
          <w:sz w:val="22"/>
          <w:szCs w:val="22"/>
        </w:rPr>
        <w:t xml:space="preserve">Pergunta testada: </w:t>
      </w:r>
      <w:r>
        <w:rPr>
          <w:rFonts w:ascii="Arial" w:hAnsi="Arial" w:cs="Arial" w:eastAsia="Arial"/>
          <w:i w:val="1"/>
          <w:iCs w:val="1"/>
          <w:sz w:val="22"/>
          <w:szCs w:val="22"/>
        </w:rPr>
        <w:t>"qual o prazo de devolução para carga perigosa"</w:t>
      </w: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1. O que está funcionando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600"/>
        <w:gridCol w:w="5560"/>
        <w:gridCol w:w="3200"/>
      </w:tblGrid>
      <w:tr>
        <w:trPr>
          <w:tblHeader/>
        </w:trPr>
        <w:tc>
          <w:tcPr>
            <w:tcW w:w="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7145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  <w:tc>
          <w:tcPr>
            <w:tcW w:w="55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71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71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Observação</w:t>
            </w:r>
          </w:p>
        </w:tc>
      </w:tr>
      <w:tr>
        <w:tc>
          <w:tcPr>
            <w:tcW w:w="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Segoe UI Emoji" w:cs="Arial" w:eastAsia="Arial"/>
                <w:b w:val="1"/>
                <w:bCs w:val="1"/>
                <w:color w:val="1E7145"/>
                <w:sz w:val="18"/>
                <w:szCs w:val="18"/>
              </w:rPr>
              <w:t>✓</w:t>
            </w:r>
          </w:p>
        </w:tc>
        <w:tc>
          <w:tcPr>
            <w:tcW w:w="55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18"/>
                <w:szCs w:val="18"/>
              </w:rPr>
              <w:t>Estrutura do prompt</w:t>
            </w:r>
          </w:p>
        </w:tc>
        <w:tc>
          <w:tcPr>
            <w:tcW w:w="3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18"/>
                <w:szCs w:val="18"/>
              </w:rPr>
              <w:t>System prompt + chunks + pergunta montados na ordem correta</w:t>
            </w:r>
          </w:p>
        </w:tc>
      </w:tr>
      <w:tr>
        <w:tc>
          <w:tcPr>
            <w:tcW w:w="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Segoe UI Emoji" w:cs="Arial" w:eastAsia="Arial"/>
                <w:b w:val="1"/>
                <w:bCs w:val="1"/>
                <w:color w:val="1E7145"/>
                <w:sz w:val="18"/>
                <w:szCs w:val="18"/>
              </w:rPr>
              <w:t>✓</w:t>
            </w:r>
          </w:p>
        </w:tc>
        <w:tc>
          <w:tcPr>
            <w:tcW w:w="55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18"/>
                <w:szCs w:val="18"/>
              </w:rPr>
              <w:t>Orçamento de tokens</w:t>
            </w:r>
          </w:p>
        </w:tc>
        <w:tc>
          <w:tcPr>
            <w:tcW w:w="3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18"/>
                <w:szCs w:val="18"/>
              </w:rPr>
              <w:t>1.656 tokens — dentro do orçamento esperado para query simples (limite: ~120K tokens)</w:t>
            </w:r>
          </w:p>
        </w:tc>
      </w:tr>
      <w:tr>
        <w:tc>
          <w:tcPr>
            <w:tcW w:w="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Segoe UI Emoji" w:cs="Arial" w:eastAsia="Arial"/>
                <w:b w:val="1"/>
                <w:bCs w:val="1"/>
                <w:color w:val="1E7145"/>
                <w:sz w:val="18"/>
                <w:szCs w:val="18"/>
              </w:rPr>
              <w:t>✓</w:t>
            </w:r>
          </w:p>
        </w:tc>
        <w:tc>
          <w:tcPr>
            <w:tcW w:w="55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18"/>
                <w:szCs w:val="18"/>
              </w:rPr>
              <w:t>Metadados visíveis</w:t>
            </w:r>
          </w:p>
        </w:tc>
        <w:tc>
          <w:tcPr>
            <w:tcW w:w="3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18"/>
                <w:szCs w:val="18"/>
              </w:rPr>
              <w:t>Fonte, versão e tipo_fonte exibidos em cada chunk no prompt</w:t>
            </w:r>
          </w:p>
        </w:tc>
      </w:tr>
      <w:tr>
        <w:tc>
          <w:tcPr>
            <w:tcW w:w="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Segoe UI Emoji" w:cs="Arial" w:eastAsia="Arial"/>
                <w:b w:val="1"/>
                <w:bCs w:val="1"/>
                <w:color w:val="1E7145"/>
                <w:sz w:val="18"/>
                <w:szCs w:val="18"/>
              </w:rPr>
              <w:t>✓</w:t>
            </w:r>
          </w:p>
        </w:tc>
        <w:tc>
          <w:tcPr>
            <w:tcW w:w="55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18"/>
                <w:szCs w:val="18"/>
              </w:rPr>
              <w:t>Integração busca → prompt</w:t>
            </w:r>
          </w:p>
        </w:tc>
        <w:tc>
          <w:tcPr>
            <w:tcW w:w="3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18"/>
                <w:szCs w:val="18"/>
              </w:rPr>
              <w:t>prompt_builder.py chama busca.py corretamente e monta o contexto completo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b w:val="1"/>
          <w:bCs w:val="1"/>
          <w:sz w:val="22"/>
          <w:szCs w:val="22"/>
        </w:rPr>
        <w:t xml:space="preserve">Total de tokens do prompt completo: </w:t>
      </w:r>
      <w:r>
        <w:rPr>
          <w:rFonts w:ascii="Arial" w:hAnsi="Arial" w:cs="Arial" w:eastAsia="Arial"/>
          <w:sz w:val="22"/>
          <w:szCs w:val="22"/>
        </w:rPr>
        <w:t>1.656 tokens (~1.242 palavras). O system prompt v2 ocupa a maior parte (~1.100 tokens), os 5 chunks contribuem com ~400 tokens e a pergunta com ~10 tokens. O orçamento está bem dimensionado para o volume de documentação da NovaTech.</w:t>
      </w:r>
    </w:p>
    <w:p>
      <w:pPr>
        <w:spacing w:before="40" w:after="4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0" w:shadow="0" w:frame="0" w:color="C00000"/>
          <w:right w:val="none" w:sz="0" w:space="0" w:shadow="0" w:frame="0" w:color="auto"/>
          <w:between w:val="none" w:sz="0" w:space="0" w:shadow="0" w:frame="0" w:color="auto"/>
        </w:pBdr>
        <w:spacing w:before="160" w:after="1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2. Problema crítico identificado — Precision no retrieval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 xml:space="preserve">Contexto: </w:t>
            </w:r>
            <w:r>
              <w:rPr>
                <w:rFonts w:ascii="Arial" w:hAnsi="Arial" w:cs="Arial" w:eastAsia="Arial"/>
                <w:sz w:val="20"/>
                <w:szCs w:val="20"/>
              </w:rPr>
              <w:t>Este problema foi previsto na estratégia de chunking do Passo 2 como risco de cardinalidade. A execução do prompt_builder.py confirmou o risco na prática.</w:t>
            </w:r>
          </w:p>
        </w:tc>
      </w:tr>
    </w:tbl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2.1 O chunk ausente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A pergunta 'qual o prazo de devolução para carga perigosa' deveria recuperar obrigatoriamente o chunk da POL-001 seção 3.2, que contém a regra crítica: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POL-001, seção 3.2 — Exceções ao prazo geral</w:t>
            </w:r>
          </w:p>
          <w:p>
            <w:pPr>
              <w:spacing w:before="20" w:after="20" w:beforeAutospacing="0" w:afterAutospacing="0"/>
            </w:pP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As seguintes categorias de carga NÃO são elegíveis para devolução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pelo processo padrão:</w:t>
            </w:r>
          </w:p>
          <w:p>
            <w:pPr>
              <w:spacing w:before="20" w:after="20" w:beforeAutospacing="0" w:afterAutospacing="0"/>
            </w:pP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- Cargas perigosas classificadas nas classes 1 a 6 da ANTT...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Inclui: explosivos (classe 1), gases (classe 2), líquidos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inflamáveis (classe 3)...</w:t>
            </w:r>
          </w:p>
          <w:p>
            <w:pPr>
              <w:spacing w:before="20" w:after="20" w:beforeAutospacing="0" w:afterAutospacing="0"/>
            </w:pP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Para essas categorias, o cliente deve entrar em contato com o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setor de Gestão de Riscos (ramal 4500) para tratamento individual.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b w:val="1"/>
          <w:bCs w:val="1"/>
          <w:sz w:val="22"/>
          <w:szCs w:val="22"/>
        </w:rPr>
        <w:t xml:space="preserve">Este chunk não apareceu nos top 5 resultados. </w:t>
      </w:r>
      <w:r>
        <w:rPr>
          <w:rFonts w:ascii="Arial" w:hAnsi="Arial" w:cs="Arial" w:eastAsia="Arial"/>
          <w:sz w:val="22"/>
          <w:szCs w:val="22"/>
        </w:rPr>
        <w:t>Sem ele, o LLM não tem acesso à regra que proíbe a devolução de carga perigosa e pode gerar uma resposta incorreta com alta confiança.</w:t>
      </w:r>
    </w:p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2.2 O que o retrieval trouxe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58"/>
        <w:gridCol w:w="2572"/>
        <w:gridCol w:w="2755"/>
        <w:gridCol w:w="1190"/>
        <w:gridCol w:w="990"/>
        <w:gridCol w:w="1495"/>
      </w:tblGrid>
      <w:tr>
        <w:trPr>
          <w:tblHeader/>
        </w:trP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Fonte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Seção</w:t>
            </w:r>
          </w:p>
        </w:tc>
        <w:tc>
          <w:tcPr>
            <w:tcW w:w="1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5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18"/>
                <w:szCs w:val="18"/>
              </w:rPr>
              <w:t>Similaridade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FAQ-atendimento.md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Item 3 — Carga perigosa</w:t>
            </w:r>
          </w:p>
        </w:tc>
        <w:tc>
          <w:tcPr>
            <w:tcW w:w="1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informal</w:t>
            </w:r>
          </w:p>
        </w:tc>
        <w:tc>
          <w:tcPr>
            <w:tcW w:w="15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0.68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FAQ-atendimento.md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Item 22 — Seguro de carga</w:t>
            </w:r>
          </w:p>
        </w:tc>
        <w:tc>
          <w:tcPr>
            <w:tcW w:w="1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informal</w:t>
            </w:r>
          </w:p>
        </w:tc>
        <w:tc>
          <w:tcPr>
            <w:tcW w:w="15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0.61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PROC-042-frete-especial-v1.md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3. Prazo de entrega</w:t>
            </w:r>
          </w:p>
        </w:tc>
        <w:tc>
          <w:tcPr>
            <w:tcW w:w="1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15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0.57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POL-001-politica-devolucao.md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3.5. Custos de devolução</w:t>
            </w:r>
          </w:p>
        </w:tc>
        <w:tc>
          <w:tcPr>
            <w:tcW w:w="1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v1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15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0.55</w:t>
            </w:r>
          </w:p>
        </w:tc>
      </w:tr>
      <w:tr>
        <w:tc>
          <w:tcPr>
            <w:tcW w:w="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PROC-042-v2-frete-especial-revisado.md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3. Prazo de entrega</w:t>
            </w:r>
          </w:p>
        </w:tc>
        <w:tc>
          <w:tcPr>
            <w:tcW w:w="1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v2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normativo</w:t>
            </w:r>
          </w:p>
        </w:tc>
        <w:tc>
          <w:tcPr>
            <w:tcW w:w="15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Arial" w:hAnsi="Arial" w:cs="Arial" w:eastAsia="Arial"/>
                <w:sz w:val="18"/>
                <w:szCs w:val="18"/>
              </w:rPr>
              <w:t>0.54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Legenda dos problemas por chunk: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Chunks 1 e 2 — FAQ informal: fonte não validada pelo Compliance. Chunk 1 contém informação parcialmente correta (ramal 4500), mas o contexto é informal.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Chunks 1 e 2 — FAQ informal: fonte não validada pelo Compliance. Chunk 1 cita o ramal 4500 mas sem respaldo normativo.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Chunks 3 e 5 — PROC-042 v1 e v2: prazo de frete especial para carga pesada — completamente irrelevantes para a pergunta sobre devolução de carga perigosa.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Chunk 4 — POL-001 seção 3.5: custos de devolução — parcialmente relevante mas não contém a exceção de carga perigosa.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POL-001 seção 3.2 — AUSENTE: o único chunk que contém a regra crítica não foi recuperado.</w:t>
      </w:r>
    </w:p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2.3 Causa raiz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O embedding da seção 3.2 da POL-001 foi gerado a partir do texto completo da seção, que contém as palavras 'cargas perigosas', 'ANTT', 'explosivos', 'gases', 'líquidos inflamáveis'. A pergunta 'prazo de devolução para carga perigosa' tem maior similaridade semântica com chunks que falam sobre prazo (PROC-042) e com o FAQ que menciona carga perigosa diretamente — do que com o texto normativo da seção 3.2.</w:t>
      </w:r>
    </w:p>
    <w:p>
      <w:pPr>
        <w:spacing w:before="40" w:after="4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Em outras palavras: o retrieval por similaridade semântica priorizou chunks que têm palavras em comum com a pergunta, mas não necessariamente os chunks que contêm a resposta correta.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E8E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 xml:space="preserve">Definição técnica: </w:t>
            </w:r>
            <w:r>
              <w:rPr>
                <w:rFonts w:ascii="Arial" w:hAnsi="Arial" w:cs="Arial" w:eastAsia="Arial"/>
                <w:sz w:val="20"/>
                <w:szCs w:val="20"/>
              </w:rPr>
              <w:t>Este é o problema de precision no retrieval — o pipeline traz chunks relevantes semanticamente mas não os chunks corretos para responder a pergunta. É diferente do problema de recall (não trazer nada relevante). Com precision baixa, o LLM recebe contexto enganoso.</w:t>
            </w:r>
          </w:p>
        </w:tc>
      </w:tr>
    </w:tbl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2.4 Impacto se não corrigido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Com os 5 chunks recuperados, o LLM tem acesso apenas a: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Um FAQ informal dizendo 'na prática orienta ligar no 4500'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Informações sobre prazo de frete especial — irrelevantes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Custos de devolução — não cobre a exceção de carga perigosa</w:t>
      </w:r>
    </w:p>
    <w:p>
      <w:pPr>
        <w:spacing w:before="40" w:after="4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b w:val="1"/>
          <w:bCs w:val="1"/>
          <w:sz w:val="22"/>
          <w:szCs w:val="22"/>
        </w:rPr>
        <w:t xml:space="preserve">Resposta provável do LLM sem o chunk correto: </w:t>
      </w:r>
      <w:r>
        <w:rPr>
          <w:rFonts w:ascii="Arial" w:hAnsi="Arial" w:cs="Arial" w:eastAsia="Arial"/>
          <w:i w:val="1"/>
          <w:iCs w:val="1"/>
          <w:sz w:val="22"/>
          <w:szCs w:val="22"/>
        </w:rPr>
        <w:t>"O prazo de devolução é de 7 dias úteis. Para carga perigosa, oriente o cliente a ligar no ramal 4500." — resposta parcialmente incorreta: não declara que carga perigosa NÃO pode devolver pelo processo padrão.</w:t>
      </w:r>
    </w:p>
    <w:p>
      <w:pPr>
        <w:spacing w:before="40" w:after="4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0" w:shadow="0" w:frame="0" w:color="1E7145"/>
          <w:right w:val="none" w:sz="0" w:space="0" w:shadow="0" w:frame="0" w:color="auto"/>
          <w:between w:val="none" w:sz="0" w:space="0" w:shadow="0" w:frame="0" w:color="auto"/>
        </w:pBdr>
        <w:spacing w:before="160" w:after="1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3. Proposta de correção — Problema 1 do entregável</w:t>
      </w:r>
    </w:p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3.1 Solução imediata: aumentar n_resultados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A correção mais simples é aumentar o número de chunks recuperados de 5 para 8. Com mais chunks no contexto, a probabilidade de incluir a POL-001 seção 3.2 aumenta.</w:t>
      </w:r>
    </w:p>
    <w:p>
      <w:pPr>
        <w:spacing w:before="40" w:after="4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No prompt_builder.py, altere a chamada: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# Antes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prompt, chunks = montar_prompt(pergunta, n_chunks=5)</w:t>
            </w:r>
          </w:p>
          <w:p>
            <w:pPr>
              <w:spacing w:before="20" w:after="20" w:beforeAutospacing="0" w:afterAutospacing="0"/>
            </w:pP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# Depois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prompt, chunks = montar_prompt(pergunta, n_chunks=8)</w:t>
            </w:r>
          </w:p>
        </w:tc>
      </w:tr>
    </w:tbl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 xml:space="preserve">Limitação: </w:t>
            </w:r>
            <w:r>
              <w:rPr>
                <w:rFonts w:ascii="Arial" w:hAnsi="Arial" w:cs="Arial" w:eastAsia="Arial"/>
                <w:sz w:val="20"/>
                <w:szCs w:val="20"/>
              </w:rPr>
              <w:t>Aumentar n_chunks resolve o sintoma mas não a causa. Com 8 chunks, o contexto cresce para ~2.600 tokens e o efeito lost in the middle pode diluir a atenção do LLM. A solução estrutural está na seção 3.2.</w:t>
            </w:r>
          </w:p>
        </w:tc>
      </w:tr>
    </w:tbl>
    <w:p>
      <w:pPr>
        <w:spacing w:before="40" w:after="4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3.2 Solução estrutural: enriquecimento semântico dos chunks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A causa raiz é que o embedding da seção 3.2 não captura que aquele chunk é a resposta para perguntas sobre 'posso devolver carga perigosa'. A solução é adicionar um campo de contexto semântico durante a ingestão: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# Em dividir_em_chunks(), ao criar o chunk da seção 3.2: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# Detectar se a seção contém palavras-chave de exceção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# ('NÃO são elegíveis', 'não é elegível', 'exceto', 'exceção')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# Se sim, adicionar um prefixo semântico ao texto do chunk:</w:t>
            </w:r>
          </w:p>
          <w:p>
            <w:pPr>
              <w:spacing w:before="20" w:after="20" w:beforeAutospacing="0" w:afterAutospacing="0"/>
            </w:pP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prefixo = '[EXCEÇÃO — Esta seção define restrições e categorias'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          ' NÃO elegíveis para o processo padrão]\n'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chunk['texto'] = prefixo + chunk['texto']</w:t>
            </w:r>
          </w:p>
          <w:p>
            <w:pPr>
              <w:spacing w:before="20" w:after="20" w:beforeAutospacing="0" w:afterAutospacing="0"/>
            </w:pP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# O prefixo força o embedding a capturar o conceito de 'exceção'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# e 'não elegível', aumentando a similaridade com perguntas</w:t>
            </w:r>
          </w:p>
          <w:p>
            <w:pPr>
              <w:spacing w:before="20" w:after="2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# do tipo 'posso devolver X?' quando X é uma exceção.</w:t>
            </w:r>
          </w:p>
        </w:tc>
      </w:tr>
    </w:tbl>
    <w:p>
      <w:pPr>
        <w:spacing w:before="40" w:after="4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0" w:shadow="0" w:frame="0" w:color="2E75B6"/>
          <w:right w:val="none" w:sz="0" w:space="0" w:shadow="0" w:frame="0" w:color="auto"/>
          <w:between w:val="none" w:sz="0" w:space="0" w:shadow="0" w:frame="0" w:color="auto"/>
        </w:pBdr>
        <w:spacing w:before="160" w:after="1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4. Registro para o entregável do exercício</w:t>
      </w: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000"/>
        <w:gridCol w:w="7360"/>
      </w:tblGrid>
      <w:tr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Problema identificado</w:t>
            </w:r>
          </w:p>
        </w:tc>
        <w:tc>
          <w:tcPr>
            <w:tcW w:w="7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Chunk crítico da POL-001 seção 3.2 (exceção de carga perigosa) não recuperado nos top 5 resultados para pergunta diretamente relacionada</w:t>
            </w:r>
          </w:p>
        </w:tc>
      </w:tr>
      <w:tr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Observado em</w:t>
            </w:r>
          </w:p>
        </w:tc>
        <w:tc>
          <w:tcPr>
            <w:tcW w:w="7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Teste do prompt_builder.py com a pergunta: 'qual o prazo de devolução para carga perigosa'</w:t>
            </w:r>
          </w:p>
        </w:tc>
      </w:tr>
      <w:tr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Causa</w:t>
            </w:r>
          </w:p>
        </w:tc>
        <w:tc>
          <w:tcPr>
            <w:tcW w:w="7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Retrieval por similaridade semântica priorizou chunks com palavras em comum (FAQ informal, PROC-042) sobre o chunk normativo com a regra correta</w:t>
            </w:r>
          </w:p>
        </w:tc>
      </w:tr>
      <w:tr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Classificação</w:t>
            </w:r>
          </w:p>
        </w:tc>
        <w:tc>
          <w:tcPr>
            <w:tcW w:w="7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Problema de precision no retrieval — chunks semanticamente próximos mas factualmente incorretos para a resposta</w:t>
            </w:r>
          </w:p>
        </w:tc>
      </w:tr>
      <w:tr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Risco previsto em</w:t>
            </w:r>
          </w:p>
        </w:tc>
        <w:tc>
          <w:tcPr>
            <w:tcW w:w="7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Passo 2 — Estratégia de Chunking, Seção 5 (Riscos mapeados), linha 'Cardinalidade de chunks'</w:t>
            </w:r>
          </w:p>
        </w:tc>
      </w:tr>
      <w:tr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Confirmado em</w:t>
            </w:r>
          </w:p>
        </w:tc>
        <w:tc>
          <w:tcPr>
            <w:tcW w:w="7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Execução real do pipeline — passo 5 do exercício</w:t>
            </w:r>
          </w:p>
        </w:tc>
      </w:tr>
      <w:tr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Correção imediata</w:t>
            </w:r>
          </w:p>
        </w:tc>
        <w:tc>
          <w:tcPr>
            <w:tcW w:w="7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Aumentar n_chunks de 5 para 8 na chamada de montar_prompt()</w:t>
            </w:r>
          </w:p>
        </w:tc>
      </w:tr>
      <w:tr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Correção estrutural</w:t>
            </w:r>
          </w:p>
        </w:tc>
        <w:tc>
          <w:tcPr>
            <w:tcW w:w="7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Enriquecimento semântico dos chunks de exceção com prefixo durante a ingestão</w:t>
            </w:r>
          </w:p>
        </w:tc>
      </w:tr>
    </w:tbl>
    <w:p>
      <w:pPr>
        <w:spacing w:before="40" w:after="40" w:beforeAutospacing="0" w:afterAutospacing="0"/>
      </w:pPr>
    </w:p>
    <w:p>
      <w:pPr>
        <w:spacing w:before="40" w:after="4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 xml:space="preserve">Nota para o entregável: </w:t>
            </w:r>
            <w:r>
              <w:rPr>
                <w:rFonts w:ascii="Arial" w:hAnsi="Arial" w:cs="Arial" w:eastAsia="Arial"/>
                <w:sz w:val="20"/>
                <w:szCs w:val="20"/>
              </w:rPr>
              <w:t>Este documento cobre o Problema 1 dos 2 problemas reais exigidos pelo exercício. O Problema 2 será identificado nos testes do Passo 6 (chunks de versões conflitantes da PROC-042 aparecendo juntos para perguntas sobre multiplicadores regionais).</w:t>
            </w:r>
          </w:p>
        </w:tc>
      </w:tr>
    </w:tbl>
    <w:p/>
    <w:sectPr>
      <w:footerReference w:type="default" r:id="RelFtr1"/>
      <w:type w:val="nextPage"/>
      <w:pgMar w:left="1440" w:right="1440" w:top="1440" w:bottom="1440" w:header="708" w:footer="708" w:gutter="0"/>
      <w:pgNumType w:chapSep="period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jc w:val="center"/>
    </w:pPr>
    <w:r>
      <w:rPr>
        <w:rFonts w:ascii="Arial" w:hAnsi="Arial" w:cs="Arial" w:eastAsia="Arial"/>
        <w:color w:val="888888"/>
        <w:sz w:val="18"/>
        <w:szCs w:val="18"/>
      </w:rPr>
      <w:t xml:space="preserve">NovaTech RAG  | </w:t>
    </w:r>
    <w:r>
      <w:rPr>
        <w:rFonts w:ascii="Arial" w:hAnsi="Arial" w:cs="Arial" w:eastAsia="Arial"/>
        <w:color w:val="888888"/>
        <w:sz w:val="18"/>
        <w:szCs w:val="18"/>
      </w:rPr>
      <w:t xml:space="preserve">Análise do prompt_builder.py  |  Página </w:t>
    </w:r>
    <w:r>
      <w:rPr>
        <w:rFonts w:ascii="Arial" w:hAnsi="Arial" w:cs="Arial" w:eastAsia="Arial"/>
        <w:color w:val="888888"/>
        <w:sz w:val="18"/>
        <w:szCs w:val="18"/>
      </w:rPr>
      <w:fldChar w:fldCharType="begin"/>
    </w:r>
    <w:r>
      <w:rPr>
        <w:rFonts w:ascii="Arial" w:hAnsi="Arial" w:cs="Arial" w:eastAsia="Arial"/>
        <w:color w:val="888888"/>
        <w:sz w:val="18"/>
        <w:szCs w:val="18"/>
      </w:rPr>
      <w:instrText>PAGE</w:instrText>
    </w:r>
    <w:r>
      <w:rPr>
        <w:rFonts w:ascii="Arial" w:hAnsi="Arial" w:cs="Arial" w:eastAsia="Arial"/>
        <w:color w:val="888888"/>
        <w:sz w:val="18"/>
        <w:szCs w:val="18"/>
      </w:rPr>
      <w:fldChar w:fldCharType="separate"/>
    </w:r>
    <w:r>
      <w:rPr>
        <w:rFonts w:ascii="Arial" w:hAnsi="Arial" w:cs="Arial" w:eastAsia="Arial"/>
        <w:color w:val="888888"/>
        <w:sz w:val="18"/>
        <w:szCs w:val="18"/>
      </w:rPr>
      <w:t>#</w:t>
    </w:r>
    <w:r>
      <w:rPr>
        <w:rFonts w:ascii="Arial" w:hAnsi="Arial" w:cs="Arial" w:eastAsia="Arial"/>
        <w:color w:val="888888"/>
        <w:sz w:val="18"/>
        <w:szCs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28532CD5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/>
    </w:lvl>
    <w:lvl w:ilvl="1">
      <w:start w:val="1"/>
      <w:numFmt w:val="bullet"/>
      <w:suff w:val="tab"/>
      <w:lvlText w:val="○"/>
      <w:lvlJc w:val="left"/>
      <w:pPr>
        <w:ind w:hanging="360" w:left="1440"/>
      </w:pPr>
      <w:rPr/>
    </w:lvl>
    <w:lvl w:ilvl="2">
      <w:start w:val="1"/>
      <w:numFmt w:val="bullet"/>
      <w:suff w:val="tab"/>
      <w:lvlText w:val="■"/>
      <w:lvlJc w:val="left"/>
      <w:pPr>
        <w:ind w:hanging="360" w:left="2160"/>
      </w:pPr>
      <w:rPr/>
    </w:lvl>
    <w:lvl w:ilvl="3">
      <w:start w:val="1"/>
      <w:numFmt w:val="bullet"/>
      <w:suff w:val="tab"/>
      <w:lvlText w:val="●"/>
      <w:lvlJc w:val="left"/>
      <w:pPr>
        <w:ind w:hanging="360" w:left="2880"/>
      </w:pPr>
      <w:rPr/>
    </w:lvl>
    <w:lvl w:ilvl="4">
      <w:start w:val="1"/>
      <w:numFmt w:val="bullet"/>
      <w:suff w:val="tab"/>
      <w:lvlText w:val="○"/>
      <w:lvlJc w:val="left"/>
      <w:pPr>
        <w:ind w:hanging="360" w:left="3600"/>
      </w:pPr>
      <w:rPr/>
    </w:lvl>
    <w:lvl w:ilvl="5">
      <w:start w:val="1"/>
      <w:numFmt w:val="bullet"/>
      <w:suff w:val="tab"/>
      <w:lvlText w:val="■"/>
      <w:lvlJc w:val="left"/>
      <w:pPr>
        <w:ind w:hanging="360" w:left="4320"/>
      </w:pPr>
      <w:rPr/>
    </w:lvl>
    <w:lvl w:ilvl="6">
      <w:start w:val="1"/>
      <w:numFmt w:val="bullet"/>
      <w:suff w:val="tab"/>
      <w:lvlText w:val="●"/>
      <w:lvlJc w:val="left"/>
      <w:pPr>
        <w:ind w:hanging="360" w:left="5040"/>
      </w:pPr>
      <w:rPr/>
    </w:lvl>
    <w:lvl w:ilvl="7">
      <w:start w:val="1"/>
      <w:numFmt w:val="bullet"/>
      <w:suff w:val="tab"/>
      <w:lvlText w:val="●"/>
      <w:lvlJc w:val="left"/>
      <w:pPr>
        <w:ind w:hanging="360" w:left="5760"/>
      </w:pPr>
      <w:rPr/>
    </w:lvl>
    <w:lvl w:ilvl="8">
      <w:start w:val="1"/>
      <w:numFmt w:val="bullet"/>
      <w:suff w:val="tab"/>
      <w:lvlText w:val="●"/>
      <w:lvlJc w:val="left"/>
      <w:pPr>
        <w:ind w:hanging="360" w:left="6480"/>
      </w:pPr>
      <w:rPr/>
    </w:lvl>
  </w:abstractNum>
  <w:abstractNum w:abstractNumId="1">
    <w:nsid w:val="7917B174"/>
    <w:multiLevelType w:val="hybridMultilevel"/>
    <w:lvl w:ilvl="0">
      <w:start w:val="1"/>
      <w:numFmt w:val="bullet"/>
      <w:suff w:val="tab"/>
      <w:lvlText w:val="•"/>
      <w:lvlJc w:val="left"/>
      <w:pPr>
        <w:ind w:hanging="360" w:left="720"/>
      </w:pPr>
      <w:rPr/>
    </w:lvl>
    <w:lvl w:ilvl="1" w:tplc="157C00E3">
      <w:start w:val="1"/>
      <w:numFmt w:val="decimal"/>
      <w:suff w:val="tab"/>
      <w:lvlText w:val="%1."/>
      <w:lvlJc w:val="left"/>
      <w:pPr/>
      <w:rPr/>
    </w:lvl>
    <w:lvl w:ilvl="2" w:tplc="3CA313DD">
      <w:start w:val="1"/>
      <w:numFmt w:val="decimal"/>
      <w:suff w:val="tab"/>
      <w:lvlText w:val="%1."/>
      <w:lvlJc w:val="left"/>
      <w:pPr/>
      <w:rPr/>
    </w:lvl>
    <w:lvl w:ilvl="3" w:tplc="7B0EF854">
      <w:start w:val="1"/>
      <w:numFmt w:val="decimal"/>
      <w:suff w:val="tab"/>
      <w:lvlText w:val="%1."/>
      <w:lvlJc w:val="left"/>
      <w:pPr/>
      <w:rPr/>
    </w:lvl>
    <w:lvl w:ilvl="4" w:tplc="1F4C7F85">
      <w:start w:val="1"/>
      <w:numFmt w:val="decimal"/>
      <w:suff w:val="tab"/>
      <w:lvlText w:val="%1."/>
      <w:lvlJc w:val="left"/>
      <w:pPr/>
      <w:rPr/>
    </w:lvl>
    <w:lvl w:ilvl="5" w:tplc="08C9E48D">
      <w:start w:val="1"/>
      <w:numFmt w:val="decimal"/>
      <w:suff w:val="tab"/>
      <w:lvlText w:val="%1."/>
      <w:lvlJc w:val="left"/>
      <w:pPr/>
      <w:rPr/>
    </w:lvl>
    <w:lvl w:ilvl="6" w:tplc="73AF724E">
      <w:start w:val="1"/>
      <w:numFmt w:val="decimal"/>
      <w:suff w:val="tab"/>
      <w:lvlText w:val="%1."/>
      <w:lvlJc w:val="left"/>
      <w:pPr/>
      <w:rPr/>
    </w:lvl>
    <w:lvl w:ilvl="7" w:tplc="4F8E7D41">
      <w:start w:val="1"/>
      <w:numFmt w:val="decimal"/>
      <w:suff w:val="tab"/>
      <w:lvlText w:val="%1."/>
      <w:lvlJc w:val="left"/>
      <w:pPr/>
      <w:rPr/>
    </w:lvl>
    <w:lvl w:ilvl="8" w:tplc="44B8E658">
      <w:start w:val="1"/>
      <w:numFmt w:val="decimal"/>
      <w:suff w:val="tab"/>
      <w:lvlText w:val="%1."/>
      <w:lvlJc w:val="left"/>
      <w:pPr/>
      <w:rPr/>
    </w:lvl>
  </w:abstractNum>
  <w:abstractNum w:abstractNumId="2">
    <w:nsid w:val="04133958"/>
    <w:multiLevelType w:val="hybrid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44B72F90">
      <w:start w:val="1"/>
      <w:numFmt w:val="decimal"/>
      <w:suff w:val="tab"/>
      <w:lvlText w:val="%1."/>
      <w:lvlJc w:val="left"/>
      <w:pPr/>
      <w:rPr/>
    </w:lvl>
    <w:lvl w:ilvl="2" w:tplc="634CB9B0">
      <w:start w:val="1"/>
      <w:numFmt w:val="decimal"/>
      <w:suff w:val="tab"/>
      <w:lvlText w:val="%1."/>
      <w:lvlJc w:val="left"/>
      <w:pPr/>
      <w:rPr/>
    </w:lvl>
    <w:lvl w:ilvl="3" w:tplc="685C6E34">
      <w:start w:val="1"/>
      <w:numFmt w:val="decimal"/>
      <w:suff w:val="tab"/>
      <w:lvlText w:val="%1."/>
      <w:lvlJc w:val="left"/>
      <w:pPr/>
      <w:rPr/>
    </w:lvl>
    <w:lvl w:ilvl="4" w:tplc="37AEE480">
      <w:start w:val="1"/>
      <w:numFmt w:val="decimal"/>
      <w:suff w:val="tab"/>
      <w:lvlText w:val="%1."/>
      <w:lvlJc w:val="left"/>
      <w:pPr/>
      <w:rPr/>
    </w:lvl>
    <w:lvl w:ilvl="5" w:tplc="2B4970D2">
      <w:start w:val="1"/>
      <w:numFmt w:val="decimal"/>
      <w:suff w:val="tab"/>
      <w:lvlText w:val="%1."/>
      <w:lvlJc w:val="left"/>
      <w:pPr/>
      <w:rPr/>
    </w:lvl>
    <w:lvl w:ilvl="6" w:tplc="224C320D">
      <w:start w:val="1"/>
      <w:numFmt w:val="decimal"/>
      <w:suff w:val="tab"/>
      <w:lvlText w:val="%1."/>
      <w:lvlJc w:val="left"/>
      <w:pPr/>
      <w:rPr/>
    </w:lvl>
    <w:lvl w:ilvl="7" w:tplc="0A2F2179">
      <w:start w:val="1"/>
      <w:numFmt w:val="decimal"/>
      <w:suff w:val="tab"/>
      <w:lvlText w:val="%1."/>
      <w:lvlJc w:val="left"/>
      <w:pPr/>
      <w:rPr/>
    </w:lvl>
    <w:lvl w:ilvl="8" w:tplc="2A7C48E9">
      <w:start w:val="1"/>
      <w:numFmt w:val="decimal"/>
      <w:suff w:val="tab"/>
      <w:lvlText w:val="%1."/>
      <w:lvlJc w:val="left"/>
      <w:pPr/>
      <w:rPr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1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Title"/>
    <w:qFormat/>
    <w:pPr/>
    <w:rPr>
      <w:sz w:val="56"/>
      <w:szCs w:val="56"/>
    </w:rPr>
  </w:style>
  <w:style w:type="paragraph" w:styleId="P2">
    <w:name w:val="Heading 1"/>
    <w:qFormat/>
    <w:pPr>
      <w:spacing w:before="360" w:after="160" w:beforeAutospacing="0" w:afterAutospacing="0"/>
      <w:outlineLvl w:val="0"/>
    </w:pPr>
    <w:rPr>
      <w:rFonts w:ascii="Arial" w:hAnsi="Arial" w:cs="Arial" w:eastAsia="Arial"/>
      <w:b w:val="1"/>
      <w:bCs w:val="1"/>
      <w:color w:val="1F4E79"/>
      <w:sz w:val="32"/>
      <w:szCs w:val="32"/>
    </w:rPr>
  </w:style>
  <w:style w:type="paragraph" w:styleId="P3">
    <w:name w:val="Heading 2"/>
    <w:qFormat/>
    <w:pPr>
      <w:spacing w:before="280" w:after="120" w:beforeAutospacing="0" w:afterAutospacing="0"/>
      <w:outlineLvl w:val="1"/>
    </w:pPr>
    <w:rPr>
      <w:rFonts w:ascii="Arial" w:hAnsi="Arial" w:cs="Arial" w:eastAsia="Arial"/>
      <w:b w:val="1"/>
      <w:bCs w:val="1"/>
      <w:color w:val="2E75B6"/>
      <w:sz w:val="26"/>
      <w:szCs w:val="26"/>
    </w:rPr>
  </w:style>
  <w:style w:type="paragraph" w:styleId="P4">
    <w:name w:val="Heading 3"/>
    <w:qFormat/>
    <w:pPr>
      <w:outlineLvl w:val="2"/>
    </w:pPr>
    <w:rPr>
      <w:color w:val="1F4D78"/>
      <w:sz w:val="24"/>
      <w:szCs w:val="24"/>
    </w:rPr>
  </w:style>
  <w:style w:type="paragraph" w:styleId="P5">
    <w:name w:val="Heading 4"/>
    <w:qFormat/>
    <w:pPr>
      <w:outlineLvl w:val="3"/>
    </w:pPr>
    <w:rPr>
      <w:i w:val="1"/>
      <w:iCs w:val="1"/>
      <w:color w:val="2E74B5"/>
    </w:rPr>
  </w:style>
  <w:style w:type="paragraph" w:styleId="P6">
    <w:name w:val="Heading 5"/>
    <w:qFormat/>
    <w:pPr>
      <w:outlineLvl w:val="4"/>
    </w:pPr>
    <w:rPr>
      <w:color w:val="2E74B5"/>
    </w:rPr>
  </w:style>
  <w:style w:type="paragraph" w:styleId="P7">
    <w:name w:val="Heading 6"/>
    <w:qFormat/>
    <w:pPr>
      <w:outlineLvl w:val="5"/>
    </w:pPr>
    <w:rPr>
      <w:color w:val="1F4D78"/>
    </w:rPr>
  </w:style>
  <w:style w:type="paragraph" w:styleId="P8">
    <w:name w:val="Strong1"/>
    <w:qFormat/>
    <w:pPr/>
    <w:rPr>
      <w:b w:val="1"/>
      <w:bCs w:val="1"/>
    </w:rPr>
  </w:style>
  <w:style w:type="paragraph" w:styleId="P9">
    <w:name w:val="List Paragraph"/>
    <w:qFormat/>
    <w:pPr/>
    <w:rPr/>
  </w:style>
  <w:style w:type="paragraph" w:styleId="P10">
    <w:name w:val="Footnote Text"/>
    <w:link w:val="C4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1">
    <w:name w:val="End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563C1"/>
      <w:u w:val="single"/>
    </w:rPr>
  </w:style>
  <w:style w:type="character" w:styleId="C3">
    <w:name w:val="Footnote Reference"/>
    <w:semiHidden/>
    <w:rPr>
      <w:vertAlign w:val="superscript"/>
    </w:rPr>
  </w:style>
  <w:style w:type="character" w:styleId="C4">
    <w:name w:val="Footnote Text Char"/>
    <w:link w:val="P10"/>
    <w:semiHidden/>
    <w:rPr>
      <w:sz w:val="20"/>
      <w:szCs w:val="20"/>
    </w:rPr>
  </w:style>
  <w:style w:type="character" w:styleId="C5">
    <w:name w:val="Endnote Reference"/>
    <w:semiHidden/>
    <w:rPr>
      <w:vertAlign w:val="superscript"/>
    </w:rPr>
  </w:style>
  <w:style w:type="character" w:styleId="C6">
    <w:name w:val="Endnote Text Char"/>
    <w:link w:val="P11"/>
    <w:semiHidden/>
    <w:rPr>
      <w:sz w:val="20"/>
      <w:szCs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Un-named</dc:creator>
  <dcterms:created xsi:type="dcterms:W3CDTF">2026-06-07T19:14:44Z</dcterms:created>
  <cp:lastModifiedBy>Lucilene Zancani Ruiz Fernandes</cp:lastModifiedBy>
  <dcterms:modified xsi:type="dcterms:W3CDTF">2026-06-07T22:31:15Z</dcterms:modified>
  <cp:revision>3</cp:revision>
</cp:coreProperties>
</file>