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1440" w:after="200" w:beforeAutospacing="0" w:afterAutospacing="0"/>
        <w:jc w:val="center"/>
      </w:pPr>
      <w:r>
        <w:rPr>
          <w:rFonts w:ascii="Arial" w:hAnsi="Arial" w:cs="Arial" w:eastAsia="Arial"/>
          <w:b w:val="1"/>
          <w:bCs w:val="1"/>
          <w:color w:val="1F4E79"/>
          <w:sz w:val="52"/>
          <w:szCs w:val="52"/>
        </w:rPr>
        <w:t>NovaTech</w:t>
      </w:r>
    </w:p>
    <w:p>
      <w:pPr>
        <w:spacing w:before="0" w:after="160" w:beforeAutospacing="0" w:afterAutospacing="0"/>
        <w:jc w:val="center"/>
      </w:pPr>
      <w:r>
        <w:rPr>
          <w:rFonts w:ascii="Arial" w:hAnsi="Arial" w:cs="Arial" w:eastAsia="Arial"/>
          <w:color w:val="2E75B6"/>
          <w:sz w:val="30"/>
          <w:szCs w:val="30"/>
        </w:rPr>
        <w:t>Pipeline de RAG — Assistente de Atendimento</w:t>
      </w:r>
    </w:p>
    <w:p>
      <w:pPr>
        <w:spacing w:before="0" w:after="80" w:beforeAutospacing="0" w:afterAutospacing="0"/>
        <w:jc w:val="center"/>
      </w:pPr>
      <w:r>
        <w:rPr>
          <w:rFonts w:ascii="Arial" w:hAnsi="Arial" w:cs="Arial" w:eastAsia="Arial"/>
          <w:b w:val="1"/>
          <w:bCs w:val="1"/>
          <w:color w:val="333333"/>
          <w:sz w:val="28"/>
          <w:szCs w:val="28"/>
        </w:rPr>
        <w:t>Estratégia de Chunking</w:t>
      </w:r>
    </w:p>
    <w:p>
      <w:pPr>
        <w:spacing w:before="0" w:after="80" w:beforeAutospacing="0" w:afterAutospacing="0"/>
        <w:jc w:val="center"/>
      </w:pPr>
      <w:r>
        <w:rPr>
          <w:rFonts w:ascii="Arial" w:hAnsi="Arial" w:cs="Arial" w:eastAsia="Arial"/>
          <w:color w:val="666666"/>
          <w:sz w:val="22"/>
          <w:szCs w:val="22"/>
        </w:rPr>
        <w:t>Exercício Dev 1.3 — Construção de Pipeline RAG Open-Source</w:t>
      </w:r>
    </w:p>
    <w:p>
      <w:pPr>
        <w:spacing w:before="0" w:after="1200" w:beforeAutospacing="0" w:afterAutospacing="0"/>
        <w:jc w:val="center"/>
      </w:pPr>
      <w:r>
        <w:rPr>
          <w:rFonts w:ascii="Arial" w:hAnsi="Arial" w:cs="Arial" w:eastAsia="Arial"/>
          <w:color w:val="888888"/>
          <w:sz w:val="22"/>
          <w:szCs w:val="22"/>
        </w:rPr>
        <w:t>Junho / 2025</w:t>
      </w: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1. Por que a estratégia de chunking define a qualidade do RAG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Em um pipeline de RAG, o chunking é a decisão mais impactante na qualidade das respostas — mais do que a escolha do modelo de LLM ou do banco vetorial. Um chunk bem construído garante que o embedding capture o conceito completo necessário para responder à pergunta. Um chunk mal construído fragmenta o contexto e faz o retrieval trazer trechos inúteis ou parciais.</w:t>
      </w:r>
    </w:p>
    <w:p>
      <w:pPr>
        <w:spacing w:before="60" w:after="6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 regra fundamental é: o tamanho e os limites do chunk devem ser determinados pelo tipo de pergunta que o atendente vai fazer, não pela conveniência técnica do pipeline.</w:t>
      </w:r>
    </w:p>
    <w:p>
      <w:pPr>
        <w:spacing w:before="60" w:after="6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Princípio central: </w:t>
            </w:r>
            <w:r>
              <w:rPr>
                <w:rFonts w:ascii="Arial" w:hAnsi="Arial" w:cs="Arial" w:eastAsia="Arial"/>
                <w:sz w:val="20"/>
                <w:szCs w:val="20"/>
              </w:rPr>
              <w:t>Cada chunk deve ser capaz de responder uma pergunta completa por conta própria. Se o chunk recuperado exige que o LLM 'adivinhe' o que estava no chunk anterior ou seguinte, o chunking falhou.</w:t>
            </w:r>
          </w:p>
        </w:tc>
      </w:tr>
    </w:tbl>
    <w:p>
      <w:pPr>
        <w:spacing w:before="60" w:after="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2. Mapeamento de perguntas por tipo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Os atendentes da NovaTech fazem três categorias de perguntas com requisitos completamente diferentes de chunking:</w:t>
      </w:r>
    </w:p>
    <w:p>
      <w:pPr>
        <w:spacing w:before="60" w:after="6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2.1 Tipo A — Lookup de valor específico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Exemplos do contexto NovaTech: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"Qual o multiplicador de frete para o Nordeste?"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"Qual o SLA de resolução para cliente Gold?"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"Qual o prazo de entrega para 800kg para Manaus?"</w:t>
      </w:r>
    </w:p>
    <w:p>
      <w:pPr>
        <w:spacing w:before="60" w:after="6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Característica: a resposta é um valor único que está em uma linha específica de uma tabela. O chunk ideal é pequeno — uma linha da tabela com seu cabeçalho. Um chunk grande dilui o sinal semântico e o embedding se torna uma média de muitas linhas, dificultando o retrieval da linha correta.</w:t>
      </w:r>
    </w:p>
    <w:p>
      <w:pPr>
        <w:spacing w:before="60" w:after="6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2.2 Tipo B — Procedimento sequencial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Exemplos do contexto NovaTech: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"Como abrir um chamado de devolução?"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"Quais documentos preciso anexar para devolução?"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"Quais são os passos do processo de devolução?"</w:t>
      </w:r>
    </w:p>
    <w:p>
      <w:pPr>
        <w:spacing w:before="60" w:after="6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Característica: a resposta é uma sequência de etapas que precisam estar juntas para fazer sentido. O chunk ideal cobre a seção inteira do procedimento — partir em etapas individuais obriga o retrieval a recuperar 4-5 chunks para reconstruir o procedimento completo.</w:t>
      </w:r>
    </w:p>
    <w:p>
      <w:pPr>
        <w:spacing w:before="60" w:after="6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2.3 Tipo C — Regra com exceção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Exemplos do contexto NovaTech: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"Posso devolver carga perigosa?" → regra geral é sim (7 dias), mas a exceção é não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"Qual o prazo de devolução para carga refrigerada que perdeu a cadeia de frio?"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"Cargas com lacre violado podem ser devolvidas?"</w:t>
      </w:r>
    </w:p>
    <w:p>
      <w:pPr>
        <w:spacing w:before="60" w:after="6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Característica: este é o tipo mais perigoso. Se o chunk contém apenas a regra geral (prazo de 7 dias) sem a exceção (carga perigosa não pode devolver), o LLM vai responder errado com alta confiança. O chunk deve obrigatoriamente conter regra + exceções na mesma unidade.</w:t>
      </w:r>
    </w:p>
    <w:p>
      <w:pPr>
        <w:spacing w:before="60" w:after="6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Armadilha crítica — POL-001: </w:t>
            </w:r>
            <w:r>
              <w:rPr>
                <w:rFonts w:ascii="Arial" w:hAnsi="Arial" w:cs="Arial" w:eastAsia="Arial"/>
                <w:sz w:val="20"/>
                <w:szCs w:val="20"/>
              </w:rPr>
              <w:t>A seção 3.1 diz 'prazo de 7 dias úteis'. A seção 3.2 diz 'cargas perigosas NÃO são elegíveis'. Se o chunking separar essas duas seções, o retrieval pode trazer apenas a 3.1 para a pergunta sobre carga perigosa — e o assistente vai responder '7 dias úteis' quando a resposta correta é 'não pode devolver'.</w:t>
            </w:r>
          </w:p>
        </w:tc>
      </w:tr>
    </w:tbl>
    <w:p>
      <w:pPr>
        <w:spacing w:before="60" w:after="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3. Estratégia de chunking por tipo de documento</w:t>
      </w:r>
    </w:p>
    <w:p>
      <w:pPr>
        <w:spacing w:before="60" w:after="6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3.1 Tabelas — Tipo A (lookup)</w:t>
      </w: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Documentos afetados: SLA-2024, PROC-042-v2, PROC-042-v1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Estratégia: cada linha da tabela vira um chunk independente. O cabeçalho da tabela é repetido no início de cada chunk para que o embedding capture a relação coluna-valor.</w:t>
      </w:r>
    </w:p>
    <w:p>
      <w:pPr>
        <w:spacing w:before="60" w:after="6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Formato de serialização de cada chunk de tabela:</w:t>
      </w: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>[Documento: SLA-2024 | Seção: 2 | Tabela: SLAs por Tier] Tier: Gold | Tempo de primeira resposta (chamados gerais): Até 2h úteis | Tempo de resolução (chamados gerais): Até 24h úteis | Tempo de primeira resposta (incidentes críticos): Até 30min | Tempo de resolução (incidentes críticos): Até 4h</w:t>
            </w:r>
          </w:p>
        </w:tc>
      </w:tr>
    </w:tbl>
    <w:p>
      <w:pPr>
        <w:spacing w:before="60" w:after="60" w:beforeAutospacing="0" w:afterAutospacing="0"/>
      </w:pP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Tamanho por chunk: 50–100 tokens por linha serializada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Overlap: 0 tokens (cada linha é independente — overlap criaria duplicatas)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Metadados obrigatórios: documento, seção, nome da tabela, índice da linha</w:t>
      </w:r>
    </w:p>
    <w:p>
      <w:pPr>
        <w:spacing w:before="60" w:after="6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Regra de ouro para tabelas: </w:t>
            </w:r>
            <w:r>
              <w:rPr>
                <w:rFonts w:ascii="Arial" w:hAnsi="Arial" w:cs="Arial" w:eastAsia="Arial"/>
                <w:sz w:val="20"/>
                <w:szCs w:val="20"/>
              </w:rPr>
              <w:t>Nunca quebrar uma tabela Markdown no meio. O script de ingestão deve detectar o início (linha com |---|) e o fim de cada tabela e mantê-la íntegra antes de serializar linha por linha.</w:t>
            </w:r>
          </w:p>
        </w:tc>
      </w:tr>
    </w:tbl>
    <w:p>
      <w:pPr>
        <w:spacing w:before="60" w:after="6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3.2 Políticas e procedimentos — Tipo B e C</w:t>
      </w:r>
    </w:p>
    <w:p>
      <w:pPr>
        <w:spacing w:before="200" w:after="80" w:beforeAutospacing="0" w:afterAutospacing="0"/>
      </w:pPr>
      <w:r>
        <w:rPr>
          <w:rFonts w:ascii="Arial" w:hAnsi="Arial" w:cs="Arial" w:eastAsia="Arial"/>
          <w:b w:val="1"/>
          <w:bCs w:val="1"/>
          <w:color w:val="333333"/>
          <w:sz w:val="22"/>
          <w:szCs w:val="22"/>
        </w:rPr>
        <w:t>Documentos afetados: POL-001, PROC-042, FAQ-Atendimento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Estratégia: chunking por seção semântica. Os documentos da NovaTech usam numeração hierárquica (3.1, 3.2, 3.3) — cada seção numerada define o limite natural de um chunk.</w:t>
      </w:r>
    </w:p>
    <w:p>
      <w:pPr>
        <w:spacing w:before="60" w:after="60" w:beforeAutospacing="0" w:afterAutospacing="0"/>
      </w:pP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Tamanho por chunk: 300–600 tokens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Overlap: 50 tokens entre seções adjacentes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Limite de corte: sempre em quebras de seção (## ou ###) — nunca no meio de um parágrafo ou lista</w:t>
      </w:r>
    </w:p>
    <w:p>
      <w:pPr>
        <w:spacing w:before="60" w:after="6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O overlap de 50 tokens entre seções é especialmente importante para a POL-001. As seções 3.1 (prazo geral) e 3.2 (exceções) precisam estar conectadas — o overlap garante que o início da seção 3.2 aparece no final do chunk da seção 3.1, criando um elo semântico entre regra e exceção.</w:t>
      </w:r>
    </w:p>
    <w:p>
      <w:pPr>
        <w:spacing w:before="60" w:after="60" w:beforeAutospacing="0" w:afterAutospacing="0"/>
      </w:pPr>
    </w:p>
    <w:p>
      <w:pPr>
        <w:pStyle w:val="P3"/>
        <w:spacing w:before="280" w:after="120" w:beforeAutospacing="0" w:afterAutospacing="0"/>
      </w:pPr>
      <w:r>
        <w:rPr>
          <w:rFonts w:ascii="Arial" w:hAnsi="Arial" w:cs="Arial" w:eastAsia="Arial"/>
          <w:b w:val="1"/>
          <w:bCs w:val="1"/>
          <w:color w:val="2E75B6"/>
          <w:sz w:val="26"/>
          <w:szCs w:val="26"/>
        </w:rPr>
        <w:t>3.3 Tratamento especial — PROC-042 v1 vs v2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Este é o maior risco de contaminação do pipeline da NovaTech. Os dois documentos têm o mesmo número (PROC-042) mas multiplicadores regionais diferentes:</w:t>
      </w:r>
    </w:p>
    <w:p>
      <w:pPr>
        <w:spacing w:before="60" w:after="6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Região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v1 (março/2023)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v2 (nov/2023)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Diferença</w:t>
            </w:r>
          </w:p>
        </w:tc>
      </w:tr>
      <w:tr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Norte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1.6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1.8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+0.2</w:t>
            </w:r>
          </w:p>
        </w:tc>
      </w:tr>
      <w:tr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Nordeste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1.4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1.5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+0.1</w:t>
            </w:r>
          </w:p>
        </w:tc>
      </w:tr>
      <w:tr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Sul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1.2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1.3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+0.1</w:t>
            </w:r>
          </w:p>
        </w:tc>
      </w:tr>
      <w:tr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Sudeste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1.0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1.1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+0.1</w:t>
            </w:r>
          </w:p>
        </w:tc>
      </w:tr>
      <w:tr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Centro-Oeste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1.3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1.4</w:t>
            </w:r>
          </w:p>
        </w:tc>
        <w:tc>
          <w:tcPr>
            <w:tcW w:w="234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+0.1</w:t>
            </w:r>
          </w:p>
        </w:tc>
      </w:tr>
    </w:tbl>
    <w:p>
      <w:pPr>
        <w:spacing w:before="60" w:after="6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Se os dois documentos forem indexados no mesmo collection sem separação, o retrieval para 'multiplicador para o Norte' pode trazer 1.6 (v1) ou 1.8 (v2) dependendo da ordem dos chunks. O atendente vai receber um valor errado sem perceber.</w:t>
      </w:r>
    </w:p>
    <w:p>
      <w:pPr>
        <w:spacing w:before="60" w:after="60" w:beforeAutospacing="0" w:afterAutospacing="0"/>
      </w:pP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Solução implementada no script de ingestão: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Metadado versao: 'v1' ou 'v2' em cada chunk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Metadado data_emissao: '2023-03-03' ou '2023-11-10'</w:t>
      </w:r>
    </w:p>
    <w:p>
      <w:pPr>
        <w:pStyle w:val="P9"/>
        <w:numPr>
          <w:ilvl w:val="0"/>
          <w:numId w:val="2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Instrução no system prompt: 'Quando houver chunks de versões diferentes do mesmo documento, use a versão com data_emissao mais recente'</w:t>
      </w:r>
    </w:p>
    <w:p>
      <w:pPr>
        <w:spacing w:before="60" w:after="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4. Tabela resumo da estratégia</w:t>
      </w:r>
    </w:p>
    <w:p>
      <w:pPr>
        <w:spacing w:before="60" w:after="6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157"/>
        <w:gridCol w:w="1946"/>
        <w:gridCol w:w="1954"/>
        <w:gridCol w:w="1634"/>
        <w:gridCol w:w="1669"/>
      </w:tblGrid>
      <w:tr>
        <w:trPr>
          <w:tblHeader/>
        </w:trPr>
        <w:tc>
          <w:tcPr>
            <w:tcW w:w="2200" w:type="dxa"/>
            <w:tcBorders>
              <w:top w:val="single" w:sz="0" w:space="0" w:shadow="0" w:frame="0" w:color="BBBBBB"/>
              <w:left w:val="single" w:sz="0" w:space="0" w:shadow="0" w:frame="0" w:color="BBBBBB"/>
              <w:bottom w:val="single" w:sz="0" w:space="0" w:shadow="0" w:frame="0" w:color="BBBBBB"/>
              <w:right w:val="single" w:sz="0" w:space="0" w:shadow="0" w:fram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Tipo de Conteúdo</w:t>
            </w:r>
          </w:p>
        </w:tc>
        <w:tc>
          <w:tcPr>
            <w:tcW w:w="2000" w:type="dxa"/>
            <w:tcBorders>
              <w:top w:val="single" w:sz="0" w:space="0" w:shadow="0" w:frame="0" w:color="BBBBBB"/>
              <w:left w:val="single" w:sz="0" w:space="0" w:shadow="0" w:frame="0" w:color="BBBBBB"/>
              <w:bottom w:val="single" w:sz="0" w:space="0" w:shadow="0" w:frame="0" w:color="BBBBBB"/>
              <w:right w:val="single" w:sz="0" w:space="0" w:shadow="0" w:fram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Estratégia</w:t>
            </w:r>
          </w:p>
        </w:tc>
        <w:tc>
          <w:tcPr>
            <w:tcW w:w="2000" w:type="dxa"/>
            <w:tcBorders>
              <w:top w:val="single" w:sz="0" w:space="0" w:shadow="0" w:frame="0" w:color="BBBBBB"/>
              <w:left w:val="single" w:sz="0" w:space="0" w:shadow="0" w:frame="0" w:color="BBBBBB"/>
              <w:bottom w:val="single" w:sz="0" w:space="0" w:shadow="0" w:frame="0" w:color="BBBBBB"/>
              <w:right w:val="single" w:sz="0" w:space="0" w:shadow="0" w:fram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Tamanho</w:t>
            </w:r>
          </w:p>
        </w:tc>
        <w:tc>
          <w:tcPr>
            <w:tcW w:w="1680" w:type="dxa"/>
            <w:tcBorders>
              <w:top w:val="single" w:sz="0" w:space="0" w:shadow="0" w:frame="0" w:color="BBBBBB"/>
              <w:left w:val="single" w:sz="0" w:space="0" w:shadow="0" w:frame="0" w:color="BBBBBB"/>
              <w:bottom w:val="single" w:sz="0" w:space="0" w:shadow="0" w:frame="0" w:color="BBBBBB"/>
              <w:right w:val="single" w:sz="0" w:space="0" w:shadow="0" w:fram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Overlap</w:t>
            </w:r>
          </w:p>
        </w:tc>
        <w:tc>
          <w:tcPr>
            <w:tcW w:w="1480" w:type="dxa"/>
            <w:tcBorders>
              <w:top w:val="single" w:sz="0" w:space="0" w:shadow="0" w:frame="0" w:color="BBBBBB"/>
              <w:left w:val="single" w:sz="0" w:space="0" w:shadow="0" w:frame="0" w:color="BBBBBB"/>
              <w:bottom w:val="single" w:sz="0" w:space="0" w:shadow="0" w:frame="0" w:color="BBBBBB"/>
              <w:right w:val="single" w:sz="0" w:space="0" w:shadow="0" w:fram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Justificativa</w:t>
            </w:r>
          </w:p>
        </w:tc>
      </w:tr>
      <w:tr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Tabelas (frete, SLA)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Por linha serializada com cabeçalho repetido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50–100 tokens/linha</w:t>
            </w:r>
          </w:p>
        </w:tc>
        <w:tc>
          <w:tcPr>
            <w:tcW w:w="168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0 tokens</w:t>
            </w:r>
          </w:p>
        </w:tc>
        <w:tc>
          <w:tcPr>
            <w:tcW w:w="148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Cada linha é uma entidade semântica completa. O embedding captura região + valor sem diluição.</w:t>
            </w:r>
          </w:p>
        </w:tc>
      </w:tr>
      <w:tr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Procedimentos e políticas (POL, PROC)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Por seção numerada (##, ###)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300–600 tokens</w:t>
            </w:r>
          </w:p>
        </w:tc>
        <w:tc>
          <w:tcPr>
            <w:tcW w:w="168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50 tokens</w:t>
            </w:r>
          </w:p>
        </w:tc>
        <w:tc>
          <w:tcPr>
            <w:tcW w:w="148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Cada seção cobre um conceito completo. O overlap preserva contexto entre seções adjacentes.</w:t>
            </w:r>
          </w:p>
        </w:tc>
      </w:tr>
      <w:tr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FAQ e texto narrativo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Por parágrafo temático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200–400 tokens</w:t>
            </w:r>
          </w:p>
        </w:tc>
        <w:tc>
          <w:tcPr>
            <w:tcW w:w="168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30 tokens</w:t>
            </w:r>
          </w:p>
        </w:tc>
        <w:tc>
          <w:tcPr>
            <w:tcW w:w="148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Cada item de FAQ é autossuficiente. Overlap mínimo para não duplicar respostas próximas.</w:t>
            </w:r>
          </w:p>
        </w:tc>
      </w:tr>
      <w:tr>
        <w:tc>
          <w:tcPr>
            <w:tcW w:w="22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Documentos com versões conflitantes (PROC-042 v1 e v2)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Separado por collection com metadado de versão</w:t>
            </w:r>
          </w:p>
        </w:tc>
        <w:tc>
          <w:tcPr>
            <w:tcW w:w="2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Idem ao tipo de conteúdo</w:t>
            </w:r>
          </w:p>
        </w:tc>
        <w:tc>
          <w:tcPr>
            <w:tcW w:w="168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Idem</w:t>
            </w:r>
          </w:p>
        </w:tc>
        <w:tc>
          <w:tcPr>
            <w:tcW w:w="148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Evita que o retrieval misture multiplicadores de versões diferentes na mesma resposta.</w:t>
            </w:r>
          </w:p>
        </w:tc>
      </w:tr>
    </w:tbl>
    <w:p>
      <w:pPr>
        <w:spacing w:before="60" w:after="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5. Riscos mapeados e mitigações</w:t>
      </w:r>
    </w:p>
    <w:p>
      <w:pPr>
        <w:spacing w:before="60" w:after="6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w="3000" w:type="dxa"/>
            <w:tcBorders>
              <w:top w:val="single" w:sz="0" w:space="0" w:shadow="0" w:frame="0" w:color="BBBBBB"/>
              <w:left w:val="single" w:sz="0" w:space="0" w:shadow="0" w:frame="0" w:color="BBBBBB"/>
              <w:bottom w:val="single" w:sz="0" w:space="0" w:shadow="0" w:frame="0" w:color="BBBBBB"/>
              <w:right w:val="single" w:sz="0" w:space="0" w:shadow="0" w:frame="0" w:color="BBBBBB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3000" w:type="dxa"/>
            <w:tcBorders>
              <w:top w:val="single" w:sz="0" w:space="0" w:shadow="0" w:frame="0" w:color="BBBBBB"/>
              <w:left w:val="single" w:sz="0" w:space="0" w:shadow="0" w:frame="0" w:color="BBBBBB"/>
              <w:bottom w:val="single" w:sz="0" w:space="0" w:shadow="0" w:frame="0" w:color="BBBBBB"/>
              <w:right w:val="single" w:sz="0" w:space="0" w:shadow="0" w:frame="0" w:color="BBBBBB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360" w:type="dxa"/>
            <w:tcBorders>
              <w:top w:val="single" w:sz="0" w:space="0" w:shadow="0" w:frame="0" w:color="BBBBBB"/>
              <w:left w:val="single" w:sz="0" w:space="0" w:shadow="0" w:frame="0" w:color="BBBBBB"/>
              <w:bottom w:val="single" w:sz="0" w:space="0" w:shadow="0" w:frame="0" w:color="BBBBBB"/>
              <w:right w:val="single" w:sz="0" w:space="0" w:shadow="0" w:frame="0" w:color="BBBBBB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Mitigação na estratégia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Multiplicadores errados na resposta</w:t>
            </w:r>
          </w:p>
        </w:tc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Chunks de PROC-042 v1 e v2 misturados no mesmo retrieval</w:t>
            </w:r>
          </w:p>
        </w:tc>
        <w:tc>
          <w:tcPr>
            <w:tcW w:w="3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Collections separadas por versão + metadado data_emissao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Resposta 'não pode devolver' omitida</w:t>
            </w:r>
          </w:p>
        </w:tc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Chunk da regra geral (prazo 7 dias) recuperado sem o chunk da exceção (carga perigosa)</w:t>
            </w:r>
          </w:p>
        </w:tc>
        <w:tc>
          <w:tcPr>
            <w:tcW w:w="3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Overlap de 50 tokens nas seções da POL-001 garante que a seção 3.1 e 3.2 se sobreponham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Tabela de frete cortada no meio</w:t>
            </w:r>
          </w:p>
        </w:tc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Chunking fixo por token quebra tabela Markdown entre dois chunks</w:t>
            </w:r>
          </w:p>
        </w:tc>
        <w:tc>
          <w:tcPr>
            <w:tcW w:w="3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Detecção de tabela Markdown: nunca quebrar entre cabeçalho e linhas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FAQ informal tratado como documento oficial</w:t>
            </w:r>
          </w:p>
        </w:tc>
        <w:tc>
          <w:tcPr>
            <w:tcW w:w="300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FAQ não validado indexado com mesma prioridade dos documentos normativos</w:t>
            </w:r>
          </w:p>
        </w:tc>
        <w:tc>
          <w:tcPr>
            <w:tcW w:w="3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Metadado tipo_fonte: 'normativo' vs 'informal' + instrução no system prompt</w:t>
            </w:r>
          </w:p>
        </w:tc>
      </w:tr>
    </w:tbl>
    <w:p>
      <w:pPr>
        <w:spacing w:before="60" w:after="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6. Implementação no script de ingestão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 lógica de chunking é implementada na função dividir_em_chunks() do arquivo ingestao.py. Os comentários abaixo servem como guia para o GitHub Copilot gerar o código:</w:t>
      </w:r>
    </w:p>
    <w:p>
      <w:pPr>
        <w:spacing w:before="60" w:after="6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Courier New" w:hAnsi="Courier New" w:cs="Courier New" w:eastAsia="Courier New"/>
                <w:color w:val="1A1A1A"/>
                <w:sz w:val="18"/>
                <w:szCs w:val="18"/>
              </w:rPr>
              <w:t xml:space="preserve"># Função: dividir_em_chunks(conteudo, nome_arquivo, versao=None) # # 1. Detectar se o documento contém tabelas Markdown (linhas com |---|) #    Se sim: extrair cada tabela como bloco inteiro antes de qualquer split # # 2. Para cada tabela encontrada: #    - Extrair o cabeçalho (primeira linha) #    - Para cada linha de dados: criar um chunk com formato: #      [Documento: {nome} | Seção: {secao} | Tabela: {nome_tabela}] #      {cabeçalho serializado como chave:valor} | {linha serializada} #    - Tamanho resultante: 50-100 tokens por chunk #    - Overlap: 0 (cada linha é independente) # # 3. Para o texto narrativo (fora de tabelas): #    - Dividir nas quebras de seção: detectar linhas que começam com ## ou ### #    - Cada seção = 1 chunk (tamanho alvo: 300-600 tokens) #    - Se uma seção ultrapassar 600 tokens: dividir em parágrafos, mantendo #      o título da seção repetido no início de cada sub-chunk #    - Aplicar overlap de 50 tokens entre chunks adjacentes da mesma seção # # 4. Para cada chunk, retornar dict com: #    { 'texto': str, 'fonte': str, 'secao': str, 'versao': str, #      'data_emissao': str, 'tipo_fonte': 'normativo' ou 'informal', #      'indice': int }</w:t>
            </w:r>
          </w:p>
        </w:tc>
      </w:tr>
    </w:tbl>
    <w:p>
      <w:pPr>
        <w:spacing w:before="60" w:after="60" w:beforeAutospacing="0" w:afterAutospacing="0"/>
      </w:pPr>
    </w:p>
    <w:tbl>
      <w:tblPr>
        <w:tblW w:w="936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beforeAutospacing="0" w:afterAutospacing="0"/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 xml:space="preserve">Nota sobre o FAQ-Atendimento: </w:t>
            </w:r>
            <w:r>
              <w:rPr>
                <w:rFonts w:ascii="Arial" w:hAnsi="Arial" w:cs="Arial" w:eastAsia="Arial"/>
                <w:sz w:val="20"/>
                <w:szCs w:val="20"/>
              </w:rPr>
              <w:t>O FAQ-Atendimento.md é um documento informal, não validado pelo Compliance. Durante a ingestão, marque seus chunks com metadado tipo_fonte: 'informal'. O system prompt deve instruir o assistente a priorizar documentos normativos (POL, PROC, SLA) sobre chunks do FAQ quando houver conflito.</w:t>
            </w:r>
          </w:p>
        </w:tc>
      </w:tr>
    </w:tbl>
    <w:p>
      <w:pPr>
        <w:spacing w:before="60" w:after="60" w:beforeAutospacing="0" w:afterAutospacing="0"/>
      </w:pPr>
    </w:p>
    <w:p>
      <w:pPr>
        <w:pStyle w:val="P2"/>
        <w:spacing w:before="360" w:after="160" w:beforeAutospacing="0" w:afterAutospacing="0"/>
      </w:pPr>
      <w:r>
        <w:rPr>
          <w:rFonts w:ascii="Arial" w:hAnsi="Arial" w:cs="Arial" w:eastAsia="Arial"/>
          <w:b w:val="1"/>
          <w:bCs w:val="1"/>
          <w:color w:val="1F4E79"/>
          <w:sz w:val="32"/>
          <w:szCs w:val="32"/>
        </w:rPr>
        <w:t>7. Checklist de validação pós-ingestão</w:t>
      </w:r>
    </w:p>
    <w:p>
      <w:pPr>
        <w:spacing w:before="80" w:after="100" w:beforeAutospacing="0" w:afterAutospacing="0"/>
      </w:pPr>
      <w:r>
        <w:rPr>
          <w:rFonts w:ascii="Arial" w:hAnsi="Arial" w:cs="Arial" w:eastAsia="Arial"/>
          <w:sz w:val="22"/>
          <w:szCs w:val="22"/>
        </w:rPr>
        <w:t>Após executar o script de ingestão, valide os seguintes pontos antes de prosseguir para os testes:</w:t>
      </w:r>
    </w:p>
    <w:p>
      <w:pPr>
        <w:spacing w:before="60" w:after="60" w:beforeAutospacing="0" w:afterAutospacing="0"/>
      </w:pPr>
    </w:p>
    <w:p>
      <w:pPr>
        <w:pStyle w:val="P9"/>
        <w:numPr>
          <w:ilvl w:val="0"/>
          <w:numId w:val="3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Total de chunks indexados por documento está dentro do esperado (POL-001: ~15 chunks, SLA-2024: ~20 chunks de tabela, PROC-042-v2: ~15 chunks, FAQ: ~10 chunks)</w:t>
      </w:r>
    </w:p>
    <w:p>
      <w:pPr>
        <w:pStyle w:val="P9"/>
        <w:numPr>
          <w:ilvl w:val="0"/>
          <w:numId w:val="3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Nenhuma tabela foi cortada no meio — verificar se chunks de tabela sempre contêm cabeçalho + dados</w:t>
      </w:r>
    </w:p>
    <w:p>
      <w:pPr>
        <w:pStyle w:val="P9"/>
        <w:numPr>
          <w:ilvl w:val="0"/>
          <w:numId w:val="3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Chunks da PROC-042-v1 e PROC-042-v2 têm metadados de versão distintos</w:t>
      </w:r>
    </w:p>
    <w:p>
      <w:pPr>
        <w:pStyle w:val="P9"/>
        <w:numPr>
          <w:ilvl w:val="0"/>
          <w:numId w:val="3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Chunks do FAQ têm metadado tipo_fonte: 'informal'</w:t>
      </w:r>
    </w:p>
    <w:p>
      <w:pPr>
        <w:pStyle w:val="P9"/>
        <w:numPr>
          <w:ilvl w:val="0"/>
          <w:numId w:val="3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Busca por 'prazo de devolução' retorna chunks da POL-001 seção 3.1 E seção 3.2 nos top 3 resultados</w:t>
      </w:r>
    </w:p>
    <w:p>
      <w:pPr>
        <w:pStyle w:val="P9"/>
        <w:numPr>
          <w:ilvl w:val="0"/>
          <w:numId w:val="3"/>
        </w:numPr>
        <w:spacing w:before="60" w:after="60" w:beforeAutospacing="0" w:afterAutospacing="0"/>
      </w:pPr>
      <w:r>
        <w:rPr>
          <w:rFonts w:ascii="Arial" w:hAnsi="Arial" w:cs="Arial" w:eastAsia="Arial"/>
          <w:b w:val="0"/>
          <w:bCs w:val="0"/>
          <w:sz w:val="22"/>
          <w:szCs w:val="22"/>
        </w:rPr>
        <w:t>Busca por 'multiplicador Norte' retorna chunk da PROC-042-v2 (multiplicador 1.8) no topo — não da v1 (1.6)</w:t>
      </w:r>
    </w:p>
    <w:p>
      <w:pPr>
        <w:spacing w:before="60" w:after="60" w:beforeAutospacing="0" w:afterAutospacing="0"/>
      </w:pPr>
    </w:p>
    <w:sectPr>
      <w:footerReference w:type="default" r:id="RelFtr1"/>
      <w:type w:val="nextPage"/>
      <w:pgMar w:left="1440" w:right="1440" w:top="1440" w:bottom="1440" w:header="708" w:footer="708" w:gutter="0"/>
      <w:pgNumType w:chapSep="period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</w:pPr>
    <w:r>
      <w:rPr>
        <w:rFonts w:ascii="Arial" w:hAnsi="Arial" w:cs="Arial" w:eastAsia="Arial"/>
        <w:color w:val="888888"/>
        <w:sz w:val="18"/>
        <w:szCs w:val="18"/>
      </w:rPr>
      <w:t xml:space="preserve">NovaTech RAG — Estratégia de Chunking  |  Exercício Dev 1.3  |  Página </w:t>
    </w:r>
    <w:r>
      <w:rPr>
        <w:rFonts w:ascii="Arial" w:hAnsi="Arial" w:cs="Arial" w:eastAsia="Arial"/>
        <w:color w:val="888888"/>
        <w:sz w:val="18"/>
        <w:szCs w:val="18"/>
      </w:rPr>
      <w:fldChar w:fldCharType="begin"/>
    </w:r>
    <w:r>
      <w:rPr>
        <w:rFonts w:ascii="Arial" w:hAnsi="Arial" w:cs="Arial" w:eastAsia="Arial"/>
        <w:color w:val="888888"/>
        <w:sz w:val="18"/>
        <w:szCs w:val="18"/>
      </w:rPr>
      <w:instrText>PAGE</w:instrText>
    </w:r>
    <w:r>
      <w:rPr>
        <w:rFonts w:ascii="Arial" w:hAnsi="Arial" w:cs="Arial" w:eastAsia="Arial"/>
        <w:color w:val="888888"/>
        <w:sz w:val="18"/>
        <w:szCs w:val="18"/>
      </w:rPr>
      <w:fldChar w:fldCharType="separate"/>
    </w:r>
    <w:r>
      <w:rPr>
        <w:rFonts w:ascii="Arial" w:hAnsi="Arial" w:cs="Arial" w:eastAsia="Arial"/>
        <w:color w:val="888888"/>
        <w:sz w:val="18"/>
        <w:szCs w:val="18"/>
      </w:rPr>
      <w:t>#</w:t>
    </w:r>
    <w:r>
      <w:rPr>
        <w:rFonts w:ascii="Arial" w:hAnsi="Arial" w:cs="Arial" w:eastAsia="Arial"/>
        <w:color w:val="888888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34308517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abstractNum w:abstractNumId="1">
    <w:nsid w:val="2A912554"/>
    <w:multiLevelType w:val="hybridMultilevel"/>
    <w:lvl w:ilvl="0">
      <w:start w:val="1"/>
      <w:numFmt w:val="bullet"/>
      <w:suff w:val="tab"/>
      <w:lvlText w:val="•"/>
      <w:lvlJc w:val="left"/>
      <w:pPr>
        <w:ind w:hanging="360" w:left="720"/>
      </w:pPr>
      <w:rPr/>
    </w:lvl>
    <w:lvl w:ilvl="1" w:tplc="4EF2F510">
      <w:start w:val="1"/>
      <w:numFmt w:val="decimal"/>
      <w:suff w:val="tab"/>
      <w:lvlText w:val="%1."/>
      <w:lvlJc w:val="left"/>
      <w:pPr/>
      <w:rPr/>
    </w:lvl>
    <w:lvl w:ilvl="2" w:tplc="15BA77BB">
      <w:start w:val="1"/>
      <w:numFmt w:val="decimal"/>
      <w:suff w:val="tab"/>
      <w:lvlText w:val="%1."/>
      <w:lvlJc w:val="left"/>
      <w:pPr/>
      <w:rPr/>
    </w:lvl>
    <w:lvl w:ilvl="3" w:tplc="367CDB31">
      <w:start w:val="1"/>
      <w:numFmt w:val="decimal"/>
      <w:suff w:val="tab"/>
      <w:lvlText w:val="%1."/>
      <w:lvlJc w:val="left"/>
      <w:pPr/>
      <w:rPr/>
    </w:lvl>
    <w:lvl w:ilvl="4" w:tplc="5E1FD0D9">
      <w:start w:val="1"/>
      <w:numFmt w:val="decimal"/>
      <w:suff w:val="tab"/>
      <w:lvlText w:val="%1."/>
      <w:lvlJc w:val="left"/>
      <w:pPr/>
      <w:rPr/>
    </w:lvl>
    <w:lvl w:ilvl="5" w:tplc="32909695">
      <w:start w:val="1"/>
      <w:numFmt w:val="decimal"/>
      <w:suff w:val="tab"/>
      <w:lvlText w:val="%1."/>
      <w:lvlJc w:val="left"/>
      <w:pPr/>
      <w:rPr/>
    </w:lvl>
    <w:lvl w:ilvl="6" w:tplc="23EFD761">
      <w:start w:val="1"/>
      <w:numFmt w:val="decimal"/>
      <w:suff w:val="tab"/>
      <w:lvlText w:val="%1."/>
      <w:lvlJc w:val="left"/>
      <w:pPr/>
      <w:rPr/>
    </w:lvl>
    <w:lvl w:ilvl="7" w:tplc="11FE9BD1">
      <w:start w:val="1"/>
      <w:numFmt w:val="decimal"/>
      <w:suff w:val="tab"/>
      <w:lvlText w:val="%1."/>
      <w:lvlJc w:val="left"/>
      <w:pPr/>
      <w:rPr/>
    </w:lvl>
    <w:lvl w:ilvl="8" w:tplc="086E3535">
      <w:start w:val="1"/>
      <w:numFmt w:val="decimal"/>
      <w:suff w:val="tab"/>
      <w:lvlText w:val="%1."/>
      <w:lvlJc w:val="left"/>
      <w:pPr/>
      <w:rPr/>
    </w:lvl>
  </w:abstractNum>
  <w:abstractNum w:abstractNumId="2">
    <w:nsid w:val="156F6AA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5A4DB54">
      <w:start w:val="1"/>
      <w:numFmt w:val="decimal"/>
      <w:suff w:val="tab"/>
      <w:lvlText w:val="%1."/>
      <w:lvlJc w:val="left"/>
      <w:pPr/>
      <w:rPr/>
    </w:lvl>
    <w:lvl w:ilvl="2" w:tplc="7677BDAE">
      <w:start w:val="1"/>
      <w:numFmt w:val="decimal"/>
      <w:suff w:val="tab"/>
      <w:lvlText w:val="%1."/>
      <w:lvlJc w:val="left"/>
      <w:pPr/>
      <w:rPr/>
    </w:lvl>
    <w:lvl w:ilvl="3" w:tplc="7799BD77">
      <w:start w:val="1"/>
      <w:numFmt w:val="decimal"/>
      <w:suff w:val="tab"/>
      <w:lvlText w:val="%1."/>
      <w:lvlJc w:val="left"/>
      <w:pPr/>
      <w:rPr/>
    </w:lvl>
    <w:lvl w:ilvl="4" w:tplc="0267E77F">
      <w:start w:val="1"/>
      <w:numFmt w:val="decimal"/>
      <w:suff w:val="tab"/>
      <w:lvlText w:val="%1."/>
      <w:lvlJc w:val="left"/>
      <w:pPr/>
      <w:rPr/>
    </w:lvl>
    <w:lvl w:ilvl="5" w:tplc="595D5179">
      <w:start w:val="1"/>
      <w:numFmt w:val="decimal"/>
      <w:suff w:val="tab"/>
      <w:lvlText w:val="%1."/>
      <w:lvlJc w:val="left"/>
      <w:pPr/>
      <w:rPr/>
    </w:lvl>
    <w:lvl w:ilvl="6" w:tplc="51A0EF8B">
      <w:start w:val="1"/>
      <w:numFmt w:val="decimal"/>
      <w:suff w:val="tab"/>
      <w:lvlText w:val="%1."/>
      <w:lvlJc w:val="left"/>
      <w:pPr/>
      <w:rPr/>
    </w:lvl>
    <w:lvl w:ilvl="7" w:tplc="22C8302B">
      <w:start w:val="1"/>
      <w:numFmt w:val="decimal"/>
      <w:suff w:val="tab"/>
      <w:lvlText w:val="%1."/>
      <w:lvlJc w:val="left"/>
      <w:pPr/>
      <w:rPr/>
    </w:lvl>
    <w:lvl w:ilvl="8" w:tplc="5275BCBC">
      <w:start w:val="1"/>
      <w:numFmt w:val="decimal"/>
      <w:suff w:val="tab"/>
      <w:lvlText w:val="%1."/>
      <w:lvlJc w:val="left"/>
      <w:pPr/>
      <w:rPr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spacing w:before="360" w:after="160" w:beforeAutospacing="0" w:afterAutospacing="0"/>
      <w:outlineLvl w:val="0"/>
    </w:pPr>
    <w:rPr>
      <w:rFonts w:ascii="Arial" w:hAnsi="Arial" w:cs="Arial" w:eastAsia="Arial"/>
      <w:b w:val="1"/>
      <w:bCs w:val="1"/>
      <w:color w:val="1F4E79"/>
      <w:sz w:val="32"/>
      <w:szCs w:val="32"/>
    </w:rPr>
  </w:style>
  <w:style w:type="paragraph" w:styleId="P3">
    <w:name w:val="Heading 2"/>
    <w:qFormat/>
    <w:pPr>
      <w:spacing w:before="280" w:after="120" w:beforeAutospacing="0" w:afterAutospacing="0"/>
      <w:outlineLvl w:val="1"/>
    </w:pPr>
    <w:rPr>
      <w:rFonts w:ascii="Arial" w:hAnsi="Arial" w:cs="Arial" w:eastAsia="Arial"/>
      <w:b w:val="1"/>
      <w:bCs w:val="1"/>
      <w:color w:val="2E75B6"/>
      <w:sz w:val="26"/>
      <w:szCs w:val="26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2026-06-07T15:55:50Z</dcterms:created>
  <cp:lastModifiedBy>Lucilene Zancani Ruiz Fernandes</cp:lastModifiedBy>
  <dcterms:modified xsi:type="dcterms:W3CDTF">2026-06-07T22:34:23Z</dcterms:modified>
  <cp:revision>2</cp:revision>
</cp:coreProperties>
</file>