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1440" w:after="200" w:beforeAutospacing="0" w:afterAutospacing="0"/>
        <w:jc w:val="center"/>
      </w:pPr>
      <w:r>
        <w:rPr>
          <w:rFonts w:ascii="Arial" w:hAnsi="Arial" w:cs="Arial" w:eastAsia="Arial"/>
          <w:b w:val="1"/>
          <w:bCs w:val="1"/>
          <w:color w:val="1F4E79"/>
          <w:sz w:val="52"/>
          <w:szCs w:val="52"/>
        </w:rPr>
        <w:t>NovaTech</w:t>
      </w:r>
    </w:p>
    <w:p>
      <w:pPr>
        <w:spacing w:before="0" w:after="160" w:beforeAutospacing="0" w:afterAutospacing="0"/>
        <w:jc w:val="center"/>
      </w:pPr>
      <w:r>
        <w:rPr>
          <w:rFonts w:ascii="Arial" w:hAnsi="Arial" w:cs="Arial" w:eastAsia="Arial"/>
          <w:color w:val="2E75B6"/>
          <w:sz w:val="30"/>
          <w:szCs w:val="30"/>
        </w:rPr>
        <w:t>Pipeline de RAG — Assistente de Atendimento</w:t>
      </w:r>
    </w:p>
    <w:p>
      <w:pPr>
        <w:spacing w:before="0" w:after="80" w:beforeAutospacing="0" w:afterAutospacing="0"/>
        <w:jc w:val="center"/>
      </w:pPr>
      <w:r>
        <w:rPr>
          <w:rFonts w:ascii="Arial" w:hAnsi="Arial" w:cs="Arial" w:eastAsia="Arial"/>
          <w:b w:val="1"/>
          <w:bCs w:val="1"/>
          <w:color w:val="333333"/>
          <w:sz w:val="28"/>
          <w:szCs w:val="28"/>
        </w:rPr>
        <w:t>Resultados dos Testes de Resposta</w:t>
      </w:r>
    </w:p>
    <w:p>
      <w:pPr>
        <w:spacing w:before="0" w:after="80" w:beforeAutospacing="0" w:afterAutospacing="0"/>
        <w:jc w:val="center"/>
      </w:pPr>
      <w:r>
        <w:rPr>
          <w:rFonts w:ascii="Arial" w:hAnsi="Arial" w:cs="Arial" w:eastAsia="Arial"/>
          <w:color w:val="666666"/>
          <w:sz w:val="22"/>
          <w:szCs w:val="22"/>
        </w:rPr>
        <w:t>Exercício Dev 1.3 — Construção de Pipeline RAG Open-Source</w:t>
      </w:r>
    </w:p>
    <w:p>
      <w:pPr>
        <w:spacing w:before="0" w:after="1200" w:beforeAutospacing="0" w:afterAutospacing="0"/>
        <w:jc w:val="center"/>
      </w:pPr>
      <w:r>
        <w:rPr>
          <w:rFonts w:ascii="Arial" w:hAnsi="Arial" w:cs="Arial" w:eastAsia="Arial"/>
          <w:color w:val="888888"/>
          <w:sz w:val="22"/>
          <w:szCs w:val="22"/>
        </w:rPr>
        <w:t>Junho / 2025</w:t>
      </w: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Introdução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Este documento registra os resultados dos testes do pipeline de RAG da NovaTech executados n</w:t>
      </w:r>
      <w:r>
        <w:rPr>
          <w:rFonts w:ascii="Arial" w:hAnsi="Arial" w:cs="Arial" w:eastAsia="Arial"/>
          <w:sz w:val="22"/>
          <w:szCs w:val="22"/>
          <w:rtl w:val="0"/>
          <w:lang w:val="pt-BR" w:bidi="pt-BR" w:eastAsia="pt-BR"/>
        </w:rPr>
        <w:t>o</w:t>
      </w:r>
      <w:r>
        <w:rPr>
          <w:rFonts w:ascii="Arial" w:hAnsi="Arial" w:cs="Arial" w:eastAsia="Arial"/>
          <w:sz w:val="22"/>
          <w:szCs w:val="22"/>
          <w:rtl w:val="0"/>
          <w:lang w:val="pt-BR" w:bidi="pt-BR" w:eastAsia="pt-BR"/>
        </w:rPr>
        <w:t xml:space="preserve">s testes de resposta anteriormente as correções </w:t>
      </w:r>
      <w:r>
        <w:rPr>
          <w:rFonts w:ascii="Arial" w:hAnsi="Arial" w:cs="Arial" w:eastAsia="Arial"/>
          <w:sz w:val="22"/>
          <w:szCs w:val="22"/>
          <w:rtl w:val="0"/>
          <w:lang w:val="pt-BR" w:bidi="pt-BR" w:eastAsia="pt-BR"/>
        </w:rPr>
        <w:t>-</w:t>
      </w:r>
      <w:r>
        <w:rPr>
          <w:rFonts w:ascii="Arial" w:hAnsi="Arial" w:cs="Arial" w:eastAsia="Arial"/>
          <w:sz w:val="22"/>
          <w:szCs w:val="22"/>
        </w:rPr>
        <w:t xml:space="preserve"> Exercício Dev 1.3. Para cada uma das 5 perguntas do gabarito do Anexo B, o prompt completo (system prompt + chunks recuperados + pergunta) foi enviado ao Claude e a resposta foi avaliada contra os critérios do exercício.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Metodologia: </w:t>
            </w:r>
            <w:r>
              <w:rPr>
                <w:rFonts w:ascii="Arial" w:hAnsi="Arial" w:cs="Arial" w:eastAsia="Arial"/>
                <w:sz w:val="20"/>
                <w:szCs w:val="20"/>
              </w:rPr>
              <w:t>Os prompts foram gerados pelo prompt_builder.py e colados em conversas novas no Claude. Cada resposta foi avaliada em três critérios: (1) precisão factual, (2) citação de fonte correta, (3) aderência aos guardrails do system prompt v2.</w:t>
            </w:r>
          </w:p>
        </w:tc>
      </w:tr>
    </w:tbl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1F4E79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Teste 1 — Prazo de devolução</w:t>
      </w: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Pergunta enviada ao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"qual o prazo de devolução"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Chunks recuperados pelo pipeline: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98"/>
        <w:gridCol w:w="3101"/>
        <w:gridCol w:w="2880"/>
        <w:gridCol w:w="886"/>
        <w:gridCol w:w="1097"/>
        <w:gridCol w:w="998"/>
      </w:tblGrid>
      <w:tr>
        <w:trPr>
          <w:tblHeader/>
        </w:trP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Seção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Score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POL-001-politica-devolucao.md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 Regras de Devolução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0.6645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POL-001-politica-devolucao.md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3.5. Custos de devolução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0.6343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3 — Carga perigosa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0.5667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POL-001-politica-devolucao.md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3.3. Procedimento de devolução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0.5488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PROC-042-frete-especial-v1.md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 Prazo de entrega para frete especial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0.5447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Resposta do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O prazo para solicitação de devolução é de 7 dias úteis a partir da entrega.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Solicitações feitas após esse prazo não são elegíveis para o processo padrão de devolução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e devem ser encaminhadas ao Comercial para negociação caso a caso.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Fonte: POL-001-politica-devolucao.md, seção 3.5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8B6914"/>
          <w:sz w:val="22"/>
          <w:szCs w:val="22"/>
        </w:rPr>
        <w:t>Classificação:</w:t>
      </w:r>
    </w:p>
    <w:tbl>
      <w:tblPr>
        <w:tblW w:w="3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000"/>
      </w:tblGrid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Segoe UI Emoji" w:cs="Arial" w:eastAsia="Arial"/>
                <w:b w:val="1"/>
                <w:bCs w:val="1"/>
                <w:color w:val="8B6914"/>
                <w:sz w:val="20"/>
                <w:szCs w:val="20"/>
              </w:rPr>
              <w:t>⚠</w:t>
            </w:r>
            <w:r>
              <w:rPr>
                <w:rFonts w:ascii="Arial" w:hAnsi="Arial" w:cs="Arial" w:eastAsia="Arial"/>
                <w:b w:val="1"/>
                <w:bCs w:val="1"/>
                <w:color w:val="8B6914"/>
                <w:sz w:val="20"/>
                <w:szCs w:val="20"/>
              </w:rPr>
              <w:t xml:space="preserve">  PARCIALMENTE CORRETA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O que acertou: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Prazo de 7 dias úteis correto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Informou que após o prazo encaminha ao Comercial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Citou a POL-001 como fonte</w:t>
      </w:r>
    </w:p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C00000"/>
          <w:sz w:val="22"/>
          <w:szCs w:val="22"/>
        </w:rPr>
        <w:t>O que falhou: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Fonte errada: citou seção 3.5 (Custos de devolução) em vez da seção 3.1 (Prazo geral). O modelo inferiu o prazo a partir do chunk de custos que mencionava 'prazo expirado após 7 dias úteis'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Exceções não mencionadas: carga perigosa, refrigerada com cadeia de frio rompida e lacre violado não foram citadas — o chunk da seção 3.2 não foi recuperado</w:t>
      </w:r>
    </w:p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C00000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Teste 2 — Carga perigosa</w:t>
      </w: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Pergunta enviada ao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"posso devolver carga perigosa"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Chunks recuperados pelo pipeline: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98"/>
        <w:gridCol w:w="3101"/>
        <w:gridCol w:w="2880"/>
        <w:gridCol w:w="886"/>
        <w:gridCol w:w="1097"/>
        <w:gridCol w:w="998"/>
      </w:tblGrid>
      <w:tr>
        <w:trPr>
          <w:tblHeader/>
        </w:trP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Seção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Score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3 — Carga perigosa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0.6384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22 — Seguro de carga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0.6001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38 — Carga danificada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0.5512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32 — Frete expresso perigosa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0.5348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PROC-042-frete-especial-v1.md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4. Condições especiais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0.52</w:t>
            </w:r>
          </w:p>
        </w:tc>
      </w:tr>
    </w:tbl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E8E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Problema crítico: </w:t>
            </w:r>
            <w:r>
              <w:rPr>
                <w:rFonts w:ascii="Arial" w:hAnsi="Arial" w:cs="Arial" w:eastAsia="Arial"/>
                <w:sz w:val="20"/>
                <w:szCs w:val="20"/>
              </w:rPr>
              <w:t>4 dos 5 chunks recuperados são do FAQ informal. POL-001 seção 3.2 — único documento normativo com a regra explícita — não apareceu.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Resposta do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A devolução de carga perigosa não é elegível pelo processo padrão.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O procedimento indicado é orientar o cliente a contatar a Gestão de Riscos pelo ramal 4500.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Já houve casos em que exceções foram autorizadas por essa equipe, portanto não informe ao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cliente que é impossível — informe que o caso requer tratamento especial.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Fonte: FAQ-atendimento.md, Item 3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8B6914"/>
          <w:sz w:val="22"/>
          <w:szCs w:val="22"/>
        </w:rPr>
        <w:t>Classificação:</w:t>
      </w:r>
    </w:p>
    <w:tbl>
      <w:tblPr>
        <w:tblW w:w="3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000"/>
      </w:tblGrid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Segoe UI Emoji" w:cs="Arial" w:eastAsia="Arial"/>
                <w:b w:val="1"/>
                <w:bCs w:val="1"/>
                <w:color w:val="8B6914"/>
                <w:sz w:val="20"/>
                <w:szCs w:val="20"/>
              </w:rPr>
              <w:t>⚠</w:t>
            </w:r>
            <w:r>
              <w:rPr>
                <w:rFonts w:ascii="Arial" w:hAnsi="Arial" w:cs="Arial" w:eastAsia="Arial"/>
                <w:b w:val="1"/>
                <w:bCs w:val="1"/>
                <w:color w:val="8B6914"/>
                <w:sz w:val="20"/>
                <w:szCs w:val="20"/>
              </w:rPr>
              <w:t xml:space="preserve">  PARCIALMENTE CORRETA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O que acertou: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Declarou corretamente que carga perigosa NÃO é elegível pelo processo padrão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Mencionou o ramal 4500 e a Gestão de Riscos</w:t>
      </w:r>
    </w:p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C00000"/>
          <w:sz w:val="22"/>
          <w:szCs w:val="22"/>
        </w:rPr>
        <w:t>O que falhou: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Fonte errada e perigosa: citou FAQ-atendimento.md como única fonte. A regra está na POL-001 seção 3.2 — documento normativo oficial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Informação não normativa como orientação: 'já houve casos em que exceções foram autorizadas' veio do FAQ informal sem respaldo em documento oficial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POL-001 seção 3.2 ausente: confirmação prática do Problema 1 identificado no Passo 5</w:t>
      </w:r>
    </w:p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8B6914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Teste 3 — SLA do cliente Gold</w:t>
      </w: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Pergunta enviada ao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"qual o SLA do cliente Gold"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Chunks recuperados pelo pipeline: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98"/>
        <w:gridCol w:w="3101"/>
        <w:gridCol w:w="2880"/>
        <w:gridCol w:w="886"/>
        <w:gridCol w:w="1097"/>
        <w:gridCol w:w="998"/>
      </w:tblGrid>
      <w:tr>
        <w:trPr>
          <w:tblHeader/>
        </w:trP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Seção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Score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SLA-2024-tabela-sla-clientes.md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5. Medição e reportes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0.5581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41 — SLA resposta vs resolução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0.546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15 — Tier Platinum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0.5416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SLA-2024-tabela-sla-clientes.md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1. Classificação de clientes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0.5044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SLA-2024-tabela-sla-clientes.md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Introdução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0.4953</w:t>
            </w:r>
          </w:p>
        </w:tc>
      </w:tr>
    </w:tbl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E8E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Chunk ausente: </w:t>
            </w:r>
            <w:r>
              <w:rPr>
                <w:rFonts w:ascii="Arial" w:hAnsi="Arial" w:cs="Arial" w:eastAsia="Arial"/>
                <w:sz w:val="20"/>
                <w:szCs w:val="20"/>
              </w:rPr>
              <w:t>SLA-2024 seção 2 (Tabela de SLAs) — onde os valores de resposta e resolução estão definidos formalmente — não apareceu nos top 5.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Resposta do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O cliente Gold possui os seguintes SLAs: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 xml:space="preserve">  • Resposta: 2 horas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 xml:space="preserve">  • Resolução: 24 horas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Observação importante: Para incidentes críticos, os prazos são menores do que os listados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acima. A documentação disponível não detalha esses prazos reduzidos nesta consulta.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Atenção: a informação disponível está incompleta para os SLAs de incidentes críticos do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tier Gold. Consulte SLA-2024-tabela-sla-clientes.md para obter os prazos específicos.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Fonte: FAQ-atendimento.md, Item 41; SLA-2024-tabela-sla-clientes.md, seção 5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8B6914"/>
          <w:sz w:val="22"/>
          <w:szCs w:val="22"/>
        </w:rPr>
        <w:t>Classificação:</w:t>
      </w:r>
    </w:p>
    <w:tbl>
      <w:tblPr>
        <w:tblW w:w="3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000"/>
      </w:tblGrid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Segoe UI Emoji" w:cs="Arial" w:eastAsia="Arial"/>
                <w:b w:val="1"/>
                <w:bCs w:val="1"/>
                <w:color w:val="8B6914"/>
                <w:sz w:val="20"/>
                <w:szCs w:val="20"/>
              </w:rPr>
              <w:t>⚠</w:t>
            </w:r>
            <w:r>
              <w:rPr>
                <w:rFonts w:ascii="Arial" w:hAnsi="Arial" w:cs="Arial" w:eastAsia="Arial"/>
                <w:b w:val="1"/>
                <w:bCs w:val="1"/>
                <w:color w:val="8B6914"/>
                <w:sz w:val="20"/>
                <w:szCs w:val="20"/>
              </w:rPr>
              <w:t xml:space="preserve">  PARCIALMENTE CORRETA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O que acertou: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Valores corretos: resposta 2h e resolução 24h para chamados gerais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Sinalizou que existem prazos menores para incidentes críticos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Aplicou o alerta de informação incompleta corretamente</w:t>
      </w:r>
    </w:p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C00000"/>
          <w:sz w:val="22"/>
          <w:szCs w:val="22"/>
        </w:rPr>
        <w:t>O que falhou: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Fonte primária errada: citou FAQ-atendimento.md, Item 41 como primeira fonte. Os valores estão na SLA-2024 seção 2 — documento contratual oficial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Seção errada do SLA-2024: citou seção 5 (Medição e reportes) em vez da seção 2 (Tabela de SLAs)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Incidentes críticos declarados ausentes: prazos de 30min resposta e 4h resolução para Gold existem na SLA-2024 seção 2 mas o chunk não foi recuperado</w:t>
      </w:r>
    </w:p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1E7145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Teste 4 — Multiplicador de frete para o Sudeste</w:t>
      </w: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Pergunta enviada ao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"qual o multiplicador de frete para o Sudeste"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Chunks recuperados pelo pipeline: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98"/>
        <w:gridCol w:w="3101"/>
        <w:gridCol w:w="2880"/>
        <w:gridCol w:w="886"/>
        <w:gridCol w:w="1097"/>
        <w:gridCol w:w="998"/>
      </w:tblGrid>
      <w:tr>
        <w:trPr>
          <w:tblHeader/>
        </w:trP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Seção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Score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POL-001-politica-devolucao.md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3.4. Devoluções parciais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0.5146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PROC-042-frete-especial-v1.md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2.1. Multiplicadores regionais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0.5057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8 — Frete especial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0.5054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PROC-042-v2-frete-especial-revisado.md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2.1. Multiplicadores regionais (nov/2023)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v2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0.4944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POL-001-politica-devolucao.md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3.3. Procedimento de devolução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0.4781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Resposta do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Há duas versões conflitantes do multiplicador para a região Sudeste na documentação disponível: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 xml:space="preserve">  • PROC-042-frete-especial-v1.md, seção 2.1: multiplicador 1.0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 xml:space="preserve">  • PROC-042-v2-frete-especial-revisado.md, seção 2.1 (atualizado em novembro/2023): multiplicador 1.1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O FAQ-atendimento.md (Item 8) menciona a existência das duas versões e orienta o uso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da mais recente (v2), mas ressalva que o contrato do cliente pode ainda estar vinculado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à tabela antiga.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Recomenda-se verificar a versão do contrato do cliente antes de informar o valor,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e consultar o supervisor caso haja dúvida sobre qual tabela aplicar.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Fonte: PROC-042-frete-especial-v1.md, seção 2.1; PROC-042-v2-frete-especial-revisado.md, seção 2.1; FAQ-atendimento.md, Item 8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1E7145"/>
          <w:sz w:val="22"/>
          <w:szCs w:val="22"/>
        </w:rPr>
        <w:t>Classificação:</w:t>
      </w:r>
    </w:p>
    <w:tbl>
      <w:tblPr>
        <w:tblW w:w="3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000"/>
      </w:tblGrid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Segoe UI Emoji" w:cs="Arial" w:eastAsia="Arial"/>
                <w:b w:val="1"/>
                <w:bCs w:val="1"/>
                <w:color w:val="1E7145"/>
                <w:sz w:val="20"/>
                <w:szCs w:val="20"/>
              </w:rPr>
              <w:t>✓</w:t>
            </w:r>
            <w:r>
              <w:rPr>
                <w:rFonts w:ascii="Arial" w:hAnsi="Arial" w:cs="Arial" w:eastAsia="Arial"/>
                <w:b w:val="1"/>
                <w:bCs w:val="1"/>
                <w:color w:val="1E7145"/>
                <w:sz w:val="20"/>
                <w:szCs w:val="20"/>
              </w:rPr>
              <w:t xml:space="preserve">  CORRETA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O que acertou: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Identificou e declarou o conflito entre versões sem escolher arbitrariamente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Apresentou os dois valores com as fontes corretas (1.0 v1, 1.1 v2)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Seguiu a instrução da Seção 3 do system prompt sobre conflito entre chunks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Orientou verificar o contrato do cliente e consultar o supervisor</w:t>
      </w:r>
    </w:p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Ressalva: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Chunk da PROC-042-v2 seção 5 (disposições transitórias) ausente: a regra definitiva para resolução do conflito não foi recuperada — resolução baseada no FAQ em vez da política oficial</w:t>
      </w:r>
    </w:p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2E75B6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Teste 5 — Frete para 600kg para Manaus</w:t>
      </w: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Pergunta enviada ao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"frete para 600kg para Manaus"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Chunks recuperados pelo pipeline: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98"/>
        <w:gridCol w:w="3101"/>
        <w:gridCol w:w="2880"/>
        <w:gridCol w:w="886"/>
        <w:gridCol w:w="1097"/>
        <w:gridCol w:w="998"/>
      </w:tblGrid>
      <w:tr>
        <w:trPr>
          <w:tblHeader/>
        </w:trP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Seção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Score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PROC-042-frete-especial-v1.md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1. Objetivo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0.4805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PROC-042-v2-frete-especial-revisado.md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4. Condições especiais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v2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0.469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PROC-042-v2-frete-especial-revisado.md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2. Fórmula de cálculo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v2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0.4682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PROC-042-frete-especial-v1.md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2. Fórmula de cálculo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0.4669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PROC-042-v2-frete-especial-revisado.md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1. Objetivo</w:t>
            </w:r>
          </w:p>
        </w:tc>
        <w:tc>
          <w:tcPr>
            <w:tcW w:w="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v2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0.4636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Resposta do Claude: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Com base na documentação disponível, o cálculo para esta carga seria: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Fórmula: Valor do frete = Valor base x Multiplicador regional (Norte) x Fator de peso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 xml:space="preserve">  • Fator de peso: 1.0 (carga entre 500kg e 1.000kg) — idêntico nas duas versões da PROC-042.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 xml:space="preserve">  • Multiplicador regional (Norte): versões conflitantes — 1.6 (PROC-042-v1) ou 1.8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 xml:space="preserve">    (PROC-042-v2). Verificar qual versão se aplica ao contrato do cliente.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 xml:space="preserve">  • Valor base: não consta nos chunks disponíveis — é a tarifa publicada na tabela mensal.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Atenção: a informação disponível está incompleta para calcular o valor final do frete.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Consulte a tabela mensal de fretes para obter o valor base, e confirme com o supervisor</w:t>
            </w: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qual versão da PROC-042 se aplica ao contrato do cliente.</w:t>
            </w:r>
          </w:p>
          <w:p>
            <w:pPr>
              <w:spacing w:before="30" w:after="30" w:beforeAutospacing="0" w:afterAutospacing="0"/>
            </w:pPr>
          </w:p>
          <w:p>
            <w:pPr>
              <w:spacing w:before="30" w:after="30" w:beforeAutospacing="0" w:afterAutospacing="0"/>
            </w:pPr>
            <w:r>
              <w:rPr>
                <w:rFonts w:ascii="Arial" w:hAnsi="Arial" w:cs="Arial" w:eastAsia="Arial"/>
                <w:i w:val="1"/>
                <w:iCs w:val="1"/>
                <w:color w:val="333333"/>
                <w:sz w:val="20"/>
                <w:szCs w:val="20"/>
              </w:rPr>
              <w:t>Fonte: PROC-042-frete-especial-v1.md, seção 2; PROC-042-v2-frete-especial-revisado.md, seções 2 e 2.1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1E7145"/>
          <w:sz w:val="22"/>
          <w:szCs w:val="22"/>
        </w:rPr>
        <w:t>Classificação:</w:t>
      </w:r>
    </w:p>
    <w:tbl>
      <w:tblPr>
        <w:tblW w:w="3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000"/>
      </w:tblGrid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Segoe UI Emoji" w:cs="Arial" w:eastAsia="Arial"/>
                <w:b w:val="1"/>
                <w:bCs w:val="1"/>
                <w:color w:val="1E7145"/>
                <w:sz w:val="20"/>
                <w:szCs w:val="20"/>
              </w:rPr>
              <w:t>✓</w:t>
            </w:r>
            <w:r>
              <w:rPr>
                <w:rFonts w:ascii="Arial" w:hAnsi="Arial" w:cs="Arial" w:eastAsia="Arial"/>
                <w:b w:val="1"/>
                <w:bCs w:val="1"/>
                <w:color w:val="1E7145"/>
                <w:sz w:val="20"/>
                <w:szCs w:val="20"/>
              </w:rPr>
              <w:t xml:space="preserve">  CORRETA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O que acertou: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Identificou corretamente Manaus como região Norte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Fator de peso 1.0 para 600kg correto e consistente entre versões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Identificou o conflito de multiplicadores (1.6 v1 vs 1.8 v2)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Não inventou o valor base — declarou explicitamente a ausência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Aplicou o alerta de informação incompleta corretamente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Guardrail 2 (proibição de invenção) totalmente respeitado</w:t>
      </w:r>
    </w:p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1F4E79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Consolidação — Resultados dos 5 Testes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60"/>
        <w:gridCol w:w="2600"/>
        <w:gridCol w:w="2200"/>
        <w:gridCol w:w="2200"/>
        <w:gridCol w:w="2000"/>
      </w:tblGrid>
      <w:tr>
        <w:trPr>
          <w:tblHeader/>
        </w:trP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Pergunta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Classificação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Problema principal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Detalhe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Prazo de devolução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Parcialmente correta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Fonte errada (3.5 vs 3.1)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Exceções não mencionadas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Carga perigosa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Parcialmente correta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Fonte informal (FAQ vs POL-001)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POL-001 seção 3.2 ausente do retrieval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SLA Gold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Parcialmente correta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Fonte informal, seção errada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Incidentes críticos declarados ausentes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Multiplicador Sudeste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Correta com ressalva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Conflito identificado e declarado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Resolução via FAQ em vez de PROC-042-v2 seção 5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Frete 600kg Manaus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Correta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Comportamento ideal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Nenhuma falha identificada</w:t>
            </w:r>
          </w:p>
        </w:tc>
      </w:tr>
    </w:tbl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Dois problemas confirmados na prática</w:t>
      </w:r>
    </w:p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C00000"/>
          <w:sz w:val="22"/>
          <w:szCs w:val="22"/>
        </w:rPr>
        <w:t>Problema 1 — Chunks normativos críticos não recuperados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Os seguintes chunks não apareceram nos testes onde eram obrigatórios: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POL-001 seção 3.2 — Exceções ao prazo geral: ausente nos Testes 1 e 2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SLA-2024 seção 2 — Tabela de SLAs: ausente no Teste 3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PROC-042-v2 seção 5 — Disposições transitórias: ausente no Teste 4</w:t>
      </w:r>
    </w:p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retrieval priorizou chunks com palavras semanticamente próximas à pergunta mas não os chunks normativos corretos. Resultado: o LLM respondeu com FAQ informal ou seções irrelevantes em 3 dos 5 testes.</w:t>
      </w:r>
    </w:p>
    <w:p>
      <w:pPr>
        <w:spacing w:before="40" w:after="40" w:beforeAutospacing="0" w:afterAutospacing="0"/>
      </w:pP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C00000"/>
          <w:sz w:val="22"/>
          <w:szCs w:val="22"/>
        </w:rPr>
        <w:t>Problema 2 — FAQ informal com peso igual a documentos normativos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Em 4 das 5 perguntas o FAQ-atendimento.md apareceu como fonte primária ou única, sendo citado pelo LLM com o mesmo nível de autoridade que POL-001 e SLA-2024. O metadado tipo_fonte: 'informal' foi indexado corretamente mas o sistema não tem mecanismo para penalizar chunks informais no ranking do retrieval.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Próximos passos: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Os dois problemas serão corrigidos no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pt-BR" w:bidi="pt-BR" w:eastAsia="pt-BR"/>
              </w:rPr>
              <w:t>próximo passo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com: (1) enriquecimento semântico dos chunks de exceção e aumento de n_chunks para 8; (2) instrução explícita no system prompt para tratar fontes informais com ressalva.</w:t>
            </w:r>
          </w:p>
        </w:tc>
      </w:tr>
    </w:tbl>
    <w:p/>
    <w:sectPr>
      <w:footerReference w:type="default" r:id="RelFtr1"/>
      <w:type w:val="nextPage"/>
      <w:pgMar w:left="1440" w:right="1440" w:top="1440" w:bottom="1440" w:header="708" w:footer="708" w:gutter="0"/>
      <w:pgNumType w:chapSep="period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rPr>
        <w:rFonts w:ascii="Arial" w:hAnsi="Arial" w:cs="Arial" w:eastAsia="Arial"/>
        <w:color w:val="888888"/>
        <w:sz w:val="18"/>
        <w:szCs w:val="18"/>
      </w:rPr>
      <w:t xml:space="preserve">NovaTech RAG  | </w:t>
    </w:r>
    <w:r>
      <w:rPr>
        <w:rFonts w:ascii="Arial" w:hAnsi="Arial" w:cs="Arial" w:eastAsia="Arial"/>
        <w:color w:val="888888"/>
        <w:sz w:val="18"/>
        <w:szCs w:val="18"/>
      </w:rPr>
      <w:t xml:space="preserve">Testes de Resposta  |  Página </w:t>
    </w:r>
    <w:r>
      <w:rPr>
        <w:rFonts w:ascii="Arial" w:hAnsi="Arial" w:cs="Arial" w:eastAsia="Arial"/>
        <w:color w:val="888888"/>
        <w:sz w:val="18"/>
        <w:szCs w:val="18"/>
      </w:rPr>
      <w:fldChar w:fldCharType="begin"/>
    </w:r>
    <w:r>
      <w:rPr>
        <w:rFonts w:ascii="Arial" w:hAnsi="Arial" w:cs="Arial" w:eastAsia="Arial"/>
        <w:color w:val="888888"/>
        <w:sz w:val="18"/>
        <w:szCs w:val="18"/>
      </w:rPr>
      <w:instrText>PAGE</w:instrText>
    </w:r>
    <w:r>
      <w:rPr>
        <w:rFonts w:ascii="Arial" w:hAnsi="Arial" w:cs="Arial" w:eastAsia="Arial"/>
        <w:color w:val="888888"/>
        <w:sz w:val="18"/>
        <w:szCs w:val="18"/>
      </w:rPr>
      <w:fldChar w:fldCharType="separate"/>
    </w:r>
    <w:r>
      <w:rPr>
        <w:rFonts w:ascii="Arial" w:hAnsi="Arial" w:cs="Arial" w:eastAsia="Arial"/>
        <w:color w:val="888888"/>
        <w:sz w:val="18"/>
        <w:szCs w:val="18"/>
      </w:rPr>
      <w:t>#</w:t>
    </w:r>
    <w:r>
      <w:rPr>
        <w:rFonts w:ascii="Arial" w:hAnsi="Arial" w:cs="Arial" w:eastAsia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33C3D016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abstractNum w:abstractNumId="1">
    <w:nsid w:val="6D33DA2E"/>
    <w:multiLevelType w:val="hybridMultilevel"/>
    <w:lvl w:ilvl="0">
      <w:start w:val="1"/>
      <w:numFmt w:val="bullet"/>
      <w:suff w:val="tab"/>
      <w:lvlText w:val="•"/>
      <w:lvlJc w:val="left"/>
      <w:pPr>
        <w:ind w:hanging="360" w:left="720"/>
      </w:pPr>
      <w:rPr/>
    </w:lvl>
    <w:lvl w:ilvl="1" w:tplc="0D6007D9">
      <w:start w:val="1"/>
      <w:numFmt w:val="decimal"/>
      <w:suff w:val="tab"/>
      <w:lvlText w:val="%1."/>
      <w:lvlJc w:val="left"/>
      <w:pPr/>
      <w:rPr/>
    </w:lvl>
    <w:lvl w:ilvl="2" w:tplc="59A0CD5B">
      <w:start w:val="1"/>
      <w:numFmt w:val="decimal"/>
      <w:suff w:val="tab"/>
      <w:lvlText w:val="%1."/>
      <w:lvlJc w:val="left"/>
      <w:pPr/>
      <w:rPr/>
    </w:lvl>
    <w:lvl w:ilvl="3" w:tplc="4A4DDAB8">
      <w:start w:val="1"/>
      <w:numFmt w:val="decimal"/>
      <w:suff w:val="tab"/>
      <w:lvlText w:val="%1."/>
      <w:lvlJc w:val="left"/>
      <w:pPr/>
      <w:rPr/>
    </w:lvl>
    <w:lvl w:ilvl="4" w:tplc="751FE7D2">
      <w:start w:val="1"/>
      <w:numFmt w:val="decimal"/>
      <w:suff w:val="tab"/>
      <w:lvlText w:val="%1."/>
      <w:lvlJc w:val="left"/>
      <w:pPr/>
      <w:rPr/>
    </w:lvl>
    <w:lvl w:ilvl="5" w:tplc="28DD9085">
      <w:start w:val="1"/>
      <w:numFmt w:val="decimal"/>
      <w:suff w:val="tab"/>
      <w:lvlText w:val="%1."/>
      <w:lvlJc w:val="left"/>
      <w:pPr/>
      <w:rPr/>
    </w:lvl>
    <w:lvl w:ilvl="6" w:tplc="1ACBFFCA">
      <w:start w:val="1"/>
      <w:numFmt w:val="decimal"/>
      <w:suff w:val="tab"/>
      <w:lvlText w:val="%1."/>
      <w:lvlJc w:val="left"/>
      <w:pPr/>
      <w:rPr/>
    </w:lvl>
    <w:lvl w:ilvl="7" w:tplc="6AD6CA51">
      <w:start w:val="1"/>
      <w:numFmt w:val="decimal"/>
      <w:suff w:val="tab"/>
      <w:lvlText w:val="%1."/>
      <w:lvlJc w:val="left"/>
      <w:pPr/>
      <w:rPr/>
    </w:lvl>
    <w:lvl w:ilvl="8" w:tplc="321BCA17">
      <w:start w:val="1"/>
      <w:numFmt w:val="decimal"/>
      <w:suff w:val="tab"/>
      <w:lvlText w:val="%1."/>
      <w:lvlJc w:val="left"/>
      <w:pPr/>
      <w:rPr/>
    </w:lvl>
  </w:abstractNum>
  <w:abstractNum w:abstractNumId="2">
    <w:nsid w:val="2FCE23FE"/>
    <w:multiLevelType w:val="hybrid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B1FFD68">
      <w:start w:val="1"/>
      <w:numFmt w:val="decimal"/>
      <w:suff w:val="tab"/>
      <w:lvlText w:val="%1."/>
      <w:lvlJc w:val="left"/>
      <w:pPr/>
      <w:rPr/>
    </w:lvl>
    <w:lvl w:ilvl="2" w:tplc="447AC896">
      <w:start w:val="1"/>
      <w:numFmt w:val="decimal"/>
      <w:suff w:val="tab"/>
      <w:lvlText w:val="%1."/>
      <w:lvlJc w:val="left"/>
      <w:pPr/>
      <w:rPr/>
    </w:lvl>
    <w:lvl w:ilvl="3" w:tplc="25106C11">
      <w:start w:val="1"/>
      <w:numFmt w:val="decimal"/>
      <w:suff w:val="tab"/>
      <w:lvlText w:val="%1."/>
      <w:lvlJc w:val="left"/>
      <w:pPr/>
      <w:rPr/>
    </w:lvl>
    <w:lvl w:ilvl="4" w:tplc="4F9FCCC4">
      <w:start w:val="1"/>
      <w:numFmt w:val="decimal"/>
      <w:suff w:val="tab"/>
      <w:lvlText w:val="%1."/>
      <w:lvlJc w:val="left"/>
      <w:pPr/>
      <w:rPr/>
    </w:lvl>
    <w:lvl w:ilvl="5" w:tplc="58B5B0E0">
      <w:start w:val="1"/>
      <w:numFmt w:val="decimal"/>
      <w:suff w:val="tab"/>
      <w:lvlText w:val="%1."/>
      <w:lvlJc w:val="left"/>
      <w:pPr/>
      <w:rPr/>
    </w:lvl>
    <w:lvl w:ilvl="6" w:tplc="43C4282D">
      <w:start w:val="1"/>
      <w:numFmt w:val="decimal"/>
      <w:suff w:val="tab"/>
      <w:lvlText w:val="%1."/>
      <w:lvlJc w:val="left"/>
      <w:pPr/>
      <w:rPr/>
    </w:lvl>
    <w:lvl w:ilvl="7" w:tplc="12475A73">
      <w:start w:val="1"/>
      <w:numFmt w:val="decimal"/>
      <w:suff w:val="tab"/>
      <w:lvlText w:val="%1."/>
      <w:lvlJc w:val="left"/>
      <w:pPr/>
      <w:rPr/>
    </w:lvl>
    <w:lvl w:ilvl="8" w:tplc="20C5A147">
      <w:start w:val="1"/>
      <w:numFmt w:val="decimal"/>
      <w:suff w:val="tab"/>
      <w:lvlText w:val="%1."/>
      <w:lvlJc w:val="left"/>
      <w:pPr/>
      <w:r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spacing w:before="360" w:after="160" w:beforeAutospacing="0" w:afterAutospacing="0"/>
      <w:outlineLvl w:val="0"/>
    </w:pPr>
    <w:rPr>
      <w:rFonts w:ascii="Arial" w:hAnsi="Arial" w:cs="Arial" w:eastAsia="Arial"/>
      <w:b w:val="1"/>
      <w:bCs w:val="1"/>
      <w:color w:val="1F4E79"/>
      <w:sz w:val="32"/>
      <w:szCs w:val="32"/>
    </w:rPr>
  </w:style>
  <w:style w:type="paragraph" w:styleId="P3">
    <w:name w:val="Heading 2"/>
    <w:qFormat/>
    <w:pPr>
      <w:spacing w:before="280" w:after="120" w:beforeAutospacing="0" w:afterAutospacing="0"/>
      <w:outlineLvl w:val="1"/>
    </w:pPr>
    <w:rPr>
      <w:rFonts w:ascii="Arial" w:hAnsi="Arial" w:cs="Arial" w:eastAsia="Arial"/>
      <w:b w:val="1"/>
      <w:bCs w:val="1"/>
      <w:color w:val="2E75B6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2026-06-07T19:45:41Z</dcterms:created>
  <cp:lastModifiedBy>Lucilene Zancani Ruiz Fernandes</cp:lastModifiedBy>
  <dcterms:modified xsi:type="dcterms:W3CDTF">2026-06-07T22:37:00Z</dcterms:modified>
  <cp:revision>2</cp:revision>
</cp:coreProperties>
</file>