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8"/>
          <w:szCs w:val="48"/>
        </w:rPr>
        <w:t xml:space="preserve">NovaTech Assistant</w:t>
      </w:r>
    </w:p>
    <w:p>
      <w:pPr>
        <w:spacing w:after="200" w:before="0"/>
        <w:jc w:val="center"/>
      </w:pPr>
      <w:r>
        <w:rPr>
          <w:rFonts w:ascii="Arial" w:cs="Arial" w:eastAsia="Arial" w:hAnsi="Arial"/>
          <w:color w:val="2E75B6"/>
          <w:sz w:val="32"/>
          <w:szCs w:val="32"/>
        </w:rPr>
        <w:t xml:space="preserve">Exercício Dev 2.1 — Configuração de MCP Servers</w:t>
      </w:r>
    </w:p>
    <w:p>
      <w:pPr>
        <w:spacing w:after="600" w:before="0"/>
        <w:jc w:val="center"/>
      </w:pPr>
      <w:r>
        <w:rPr>
          <w:rFonts w:ascii="Arial" w:cs="Arial" w:eastAsia="Arial" w:hAnsi="Arial"/>
          <w:b/>
          <w:bCs/>
          <w:color w:val="2E75B6"/>
          <w:sz w:val="28"/>
          <w:szCs w:val="28"/>
        </w:rPr>
        <w:t xml:space="preserve">Tarefa 4 — Análise de Riscos de Segurança</w:t>
      </w:r>
    </w:p>
    <w:p>
      <w:pPr>
        <w:pBdr>
          <w:bottom w:val="single" w:color="2E75B6" w:sz="4" w:space="1"/>
        </w:pBdr>
        <w:spacing w:after="160" w:before="160"/>
      </w:pPr>
    </w:p>
    <w:p>
      <w:pPr>
        <w:spacing w:after="120" w:before="400"/>
        <w:jc w:val="center"/>
      </w:pPr>
      <w:r>
        <w:rPr>
          <w:rFonts w:ascii="Arial" w:cs="Arial" w:eastAsia="Arial" w:hAnsi="Arial"/>
          <w:color w:val="404040"/>
          <w:sz w:val="22"/>
          <w:szCs w:val="22"/>
        </w:rPr>
        <w:t xml:space="preserve">Papel: Desenvolvedor</w:t>
      </w:r>
    </w:p>
    <w:p>
      <w:pPr>
        <w:spacing w:after="120" w:before="0"/>
        <w:jc w:val="center"/>
      </w:pPr>
      <w:r>
        <w:rPr>
          <w:rFonts w:ascii="Arial" w:cs="Arial" w:eastAsia="Arial" w:hAnsi="Arial"/>
          <w:color w:val="404040"/>
          <w:sz w:val="22"/>
          <w:szCs w:val="22"/>
        </w:rPr>
        <w:t xml:space="preserve">Fase: Estruturação do Trabalho — Cenário Âncora 2</w:t>
      </w:r>
    </w:p>
    <w:p>
      <w:pPr>
        <w:spacing w:after="120" w:before="0"/>
        <w:jc w:val="center"/>
      </w:pPr>
      <w:r>
        <w:rPr>
          <w:rFonts w:ascii="Arial" w:cs="Arial" w:eastAsia="Arial" w:hAnsi="Arial"/>
          <w:color w:val="404040"/>
          <w:sz w:val="22"/>
          <w:szCs w:val="22"/>
        </w:rPr>
        <w:t xml:space="preserve">Data: junho/2026</w:t>
      </w:r>
    </w:p>
    <w:p>
      <w:pPr>
        <w:spacing w:after="120" w:before="0"/>
        <w:jc w:val="center"/>
      </w:pPr>
      <w:r>
        <w:rPr>
          <w:rFonts w:ascii="Arial" w:cs="Arial" w:eastAsia="Arial" w:hAnsi="Arial"/>
          <w:color w:val="404040"/>
          <w:sz w:val="22"/>
          <w:szCs w:val="22"/>
        </w:rPr>
        <w:t xml:space="preserve">Repositório: novatech-assistant (local)</w:t>
      </w:r>
    </w:p>
    <w:p>
      <w:r>
        <w:br w:type="page"/>
      </w:r>
    </w:p>
    <w:p>
      <w:pPr>
        <w:pStyle w:val="Heading1"/>
        <w:spacing w:after="160" w:before="320"/>
      </w:pPr>
      <w:r>
        <w:rPr>
          <w:rFonts w:ascii="Arial" w:cs="Arial" w:eastAsia="Arial" w:hAnsi="Arial"/>
          <w:b/>
          <w:bCs/>
          <w:color w:val="1F4E79"/>
          <w:sz w:val="32"/>
          <w:szCs w:val="32"/>
        </w:rPr>
        <w:t xml:space="preserve">1. Contexto</w:t>
      </w:r>
    </w:p>
    <w:p>
      <w:pPr>
        <w:spacing w:after="80" w:before="80"/>
      </w:pPr>
      <w:r>
        <w:rPr>
          <w:rFonts w:ascii="Arial" w:cs="Arial" w:eastAsia="Arial" w:hAnsi="Arial"/>
          <w:sz w:val="22"/>
          <w:szCs w:val="22"/>
        </w:rPr>
        <w:t xml:space="preserve">Este documento apresenta a análise de riscos de segurança do setup de MCP servers configurado para o projeto NovaTech Assistant. O ambiente consiste em 4 servers locais e gratuitos rodando via npx/uvx no Windows, conectados ao Claude Desktop para permitir que agentes de IA acessem o repositório, a documentação de negócio e o corpus de chunks RAG.</w:t>
      </w:r>
    </w:p>
    <w:p>
      <w:r>
        <w:t xml:space="preserve"/>
      </w:r>
    </w:p>
    <w:p>
      <w:pPr>
        <w:pStyle w:val="Heading2"/>
        <w:spacing w:after="120" w:before="240"/>
      </w:pPr>
      <w:r>
        <w:rPr>
          <w:rFonts w:ascii="Arial" w:cs="Arial" w:eastAsia="Arial" w:hAnsi="Arial"/>
          <w:b/>
          <w:bCs/>
          <w:color w:val="2E75B6"/>
          <w:sz w:val="26"/>
          <w:szCs w:val="26"/>
        </w:rPr>
        <w:t xml:space="preserve">Servers configurados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Server</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Pastas / Escopo</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Permissão</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Consumidor</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filesystem-src</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.\src, .\specs, .\skills</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Leitura + Escrita</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Agentes de desenvolvimento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filesystem-docs-readonly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.\docs\novatech, .\data\retrieval-corpus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Leitura (por convenção)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Agentes de consulta RAG</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git</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Raiz do repositório local (.)</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Leitura (histórico)</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Agentes de revisão e contexto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memory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Grafo local em memória</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Leitura + Escrita</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Todos os agentes</w:t>
            </w:r>
          </w:p>
        </w:tc>
      </w:tr>
    </w:tbl>
    <w:p>
      <w:r>
        <w:t xml:space="preserve"/>
      </w:r>
    </w:p>
    <w:p>
      <w:r>
        <w:br w:type="page"/>
      </w:r>
    </w:p>
    <w:p>
      <w:pPr>
        <w:pStyle w:val="Heading1"/>
        <w:spacing w:after="160" w:before="320"/>
      </w:pPr>
      <w:r>
        <w:rPr>
          <w:rFonts w:ascii="Arial" w:cs="Arial" w:eastAsia="Arial" w:hAnsi="Arial"/>
          <w:b/>
          <w:bCs/>
          <w:color w:val="1F4E79"/>
          <w:sz w:val="32"/>
          <w:szCs w:val="32"/>
        </w:rPr>
        <w:t xml:space="preserve">2. Riscos Identificados e Mitigações</w:t>
      </w:r>
    </w:p>
    <w:p>
      <w:pPr>
        <w:spacing w:after="80" w:before="80"/>
      </w:pPr>
      <w:r>
        <w:rPr>
          <w:rFonts w:ascii="Arial" w:cs="Arial" w:eastAsia="Arial" w:hAnsi="Arial"/>
          <w:sz w:val="22"/>
          <w:szCs w:val="22"/>
        </w:rPr>
        <w:t xml:space="preserve">Foram identificados 4 riscos específicos ao contexto local do projeto. Os dois primeiros são os requeridos pelo enunciado; os dois seguintes foram identificados durante a execução real do exercício.</w:t>
      </w:r>
    </w:p>
    <w:p>
      <w:r>
        <w:t xml:space="preserve"/>
      </w:r>
    </w:p>
    <w:p>
      <w:pPr>
        <w:pStyle w:val="Heading2"/>
        <w:spacing w:after="120" w:before="240"/>
      </w:pPr>
      <w:r>
        <w:rPr>
          <w:rFonts w:ascii="Arial" w:cs="Arial" w:eastAsia="Arial" w:hAnsi="Arial"/>
          <w:b/>
          <w:bCs/>
          <w:color w:val="2E75B6"/>
          <w:sz w:val="26"/>
          <w:szCs w:val="26"/>
        </w:rPr>
        <w:t xml:space="preserve">Risco 1 — Exposição de arquivos sensíveis por escopo amplo do filesystem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Atributo</w:t>
            </w:r>
          </w:p>
        </w:tc>
        <w:tc>
          <w:tcPr>
            <w:tcW w:type="dxa" w:w="7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Categoria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Exposição de dados sensíveis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Server afetado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filesystem-src</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Descrição do risco</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 o server filesystem fosse configurado com a raiz do repositório (.) em vez de subpastas específicas, o agente teria acesso a arquivos sensíveis como .env (chaves de API, strings de conexão), package.json (dependências e scripts), arquivos de CI/CD em .github/workflows/ e configurações de infraestrutura em infra/. Um agente mal configurado ou comprometido poderia ler, copiar ou exfiltrar esses dados sem que o desenvolvedor perceba.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Impacto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Alto — exposição de credenciais de Azure OpenAI, Azure AI Search e outras APIs usadas no projeto. Em ambiente de produção, isso representaria vazamento de segredos com impacto financeiro e de conformidade.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Probabilidade</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Média — erros de configuração de escopo são comuns, especialmente em ambientes de desenvolvimento onde a conveniência tende a superar o cuidado com segurança.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Mitigação implementada</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 servidor filesystem-src foi configurado com escopos explícitos e mínimos: .\src, .\specs e .\skills. A raiz do repositório não aparece como escopo em nenhum server. O arquivo .mcp/mcp.json documenta essa restrição.</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Mitigação adicional recomendada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Adicionar .env ao .gitignore e criar um arquivo .env.example sem valores reais. Registrar no AGENTS.md a regra: 'Nenhum server MCP deve receber a raiz do repositório como escopo.' Revisar o escopo em cada PR que altere o .mcp/mcp.json.</w:t>
            </w:r>
          </w:p>
        </w:tc>
      </w:tr>
    </w:tbl>
    <w:p>
      <w:r>
        <w:t xml:space="preserve"/>
      </w:r>
    </w:p>
    <w:p>
      <w:pPr>
        <w:pStyle w:val="Heading2"/>
        <w:spacing w:after="120" w:before="240"/>
      </w:pPr>
      <w:r>
        <w:rPr>
          <w:rFonts w:ascii="Arial" w:cs="Arial" w:eastAsia="Arial" w:hAnsi="Arial"/>
          <w:b/>
          <w:bCs/>
          <w:color w:val="2E75B6"/>
          <w:sz w:val="26"/>
          <w:szCs w:val="26"/>
        </w:rPr>
        <w:t xml:space="preserve">Risco 2 — Escrita sem gate humano permite alteração não rastreada de artefatos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Atributo</w:t>
            </w:r>
          </w:p>
        </w:tc>
        <w:tc>
          <w:tcPr>
            <w:tcW w:type="dxa" w:w="7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Categoria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Integridade de artefatos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Server afetado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filesystem-src</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Descrição do risco</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O server filesystem-src tem permissão de escrita em .\src, .\specs e .\skills. Isso significa que o agente pode criar, modificar ou sobrescrever arquivos nessas pastas sem necessidade de aprovação humana explícita. Um agente pode, por exemplo, sobrescrever uma spec já aprovada, alterar um SKILL.md sem revisão, ou gerar código que substitua implementações existentes. O Git registra as alterações, mas não impede que aconteçam.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Impacto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Médio/Alto — perda de artefatos aprovados, inconsistência entre specs e código, ou introdução de vulnerabilidades em código gerado sem revisão. Em produção, código não revisado pode comprometer a segurança da aplicação.</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Probabilidade</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Alta — agentes de IA são projetados para serem proativos. Sem instruções explícitas no AGENTS.md, um agente pode modificar arquivos como parte de uma resposta a uma pergunta aparentemente inofensiva.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Mitigação implementada</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 validation gate Gate 2 (Tasks → Implement) exige aprovação do Tech Lead antes de qualquer implementação. O Gate 3 (Code → Merge) exige code review com 1 approval. Esses gates estão documentados no AGENTS.md e funcionam como barreira de processo mesmo quando o server tem permissão técnica de escrita.</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Mitigação adicional recomendada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Adicionar ao AGENTS.md a regra: 'O agente NUNCA deve modificar arquivos em .\specs ou .\skills sem instrução explícita do usuário nesta sessão.' Configurar pre-commit hooks no Git que alertem quando arquivos de specs ou skills forem alterados. Rever periodicamente o histórico de commits para identificar alterações não autorizadas.</w:t>
            </w:r>
          </w:p>
        </w:tc>
      </w:tr>
    </w:tbl>
    <w:p>
      <w:r>
        <w:t xml:space="preserve"/>
      </w:r>
    </w:p>
    <w:p>
      <w:pPr>
        <w:pStyle w:val="Heading2"/>
        <w:spacing w:after="120" w:before="240"/>
      </w:pPr>
      <w:r>
        <w:rPr>
          <w:rFonts w:ascii="Arial" w:cs="Arial" w:eastAsia="Arial" w:hAnsi="Arial"/>
          <w:b/>
          <w:bCs/>
          <w:color w:val="2E75B6"/>
          <w:sz w:val="26"/>
          <w:szCs w:val="26"/>
        </w:rPr>
        <w:t xml:space="preserve">Risco 3 — Server filesystem-docs-readonly não é tecnicamente read-only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Atributo</w:t>
            </w:r>
          </w:p>
        </w:tc>
        <w:tc>
          <w:tcPr>
            <w:tcW w:type="dxa" w:w="7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Categoria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Integridade da base de conhecimento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Server afetado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filesystem-docs-readonly</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Descrição do risco</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O server filesystem-docs-readonly foi nomeado com sufixo '-readonly' para sinalizar a intenção, mas o @modelcontextprotocol/server-filesystem não possui flag nativa de read-only por pasta. Na prática, o server exposto para .\docs\novatech e .\data\retrieval-corpus tem capacidade técnica de escrita — a restrição é apenas por convenção documentada, não tecnicamente aplicada. Um agente poderia sobrescrever um documento de política da NovaTech ou corromper o corpus de chunks sem bloqueio automático.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Impacto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Alto — corrupção da fonte de verdade documental (POL-001, SLA-2024, etc.) ou do corpus de retrieval levaria a respostas incorretas do assistente, potencialmente causando erros operacionais no atendimento da NovaTech.</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Probabilidade</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Baixa em condições normais, média em cenários de prompt injection ou uso incorreto — a convenção depende de o agente respeitar instruções no AGENTS.md, o que é probabilístico, não determinístico.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Mitigação implementada</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restrição read-only está documentada no .mcp/README.md e no AGENTS.md. A separação em instâncias distintas (filesystem-src vs filesystem-docs-readonly) deixa a intenção clara para humanos e reduz a chance de o agente confundir os escopos.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Mitigação adicional recomendada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 produção, usar um server MCP com controle de acesso real (ex: servidor customizado com permissões de filesystem do SO) ou mover os documentos para um sistema com ACL (ex: Azure Blob Storage com SAS token somente leitura). No ambiente local atual, adicionar um pre-commit hook que reúnam se arquivos em docs\novatech ou data\retrieval-corpus foram modificados e alerte o desenvolvedor.</w:t>
            </w:r>
          </w:p>
        </w:tc>
      </w:tr>
    </w:tbl>
    <w:p>
      <w:r>
        <w:t xml:space="preserve"/>
      </w:r>
    </w:p>
    <w:p>
      <w:pPr>
        <w:pStyle w:val="Heading2"/>
        <w:spacing w:after="120" w:before="240"/>
      </w:pPr>
      <w:r>
        <w:rPr>
          <w:rFonts w:ascii="Arial" w:cs="Arial" w:eastAsia="Arial" w:hAnsi="Arial"/>
          <w:b/>
          <w:bCs/>
          <w:color w:val="2E75B6"/>
          <w:sz w:val="26"/>
          <w:szCs w:val="26"/>
        </w:rPr>
        <w:t xml:space="preserve">Risco 4 — Grafo de memória pode propagar decisões desatualizadas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Atributo</w:t>
            </w:r>
          </w:p>
        </w:tc>
        <w:tc>
          <w:tcPr>
            <w:tcW w:type="dxa" w:w="7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Categoria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Consistência de decisões arquiteturais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Server afetado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Descrição do risco</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O server memory mantém um grafo persistente de decisões e linguagem ubíqua do projeto. Se uma ADR for revisada ou uma decisão arquitetural mudar, o grafo de memória pode conter a versão anterior indefinidamente. Um agente que consultar o memory antes das ADRs atualizadas pode gerar código ou specs baseados em decisões obsoletas, introduzindo inconsistências difíceis de rastrear.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Impacto</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Médio — inconsistência entre o que o agente 'sabe' pela memória e o que está documentado nas ADRs e specs. Pode levar a geração de código com padrões antigos ou parâmetros de configuração desatualizados.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Probabilidade</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Média — decisões mudam ao longo do projeto e há tendência natural de atualizar ADRs mas esquecer de atualizar o grafo de memória correspondente.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Mitigação implementada</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 AGENTS.md define que toda decisão arquitetural deve ser registrada como ADR em /docs/adr/. As ADRs são a fonte de verdade; a memória é auxílio de contexto, não fonte primária.</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000000"/>
                <w:sz w:val="20"/>
                <w:szCs w:val="20"/>
              </w:rPr>
              <w:t xml:space="preserve">Mitigação adicional recomendada</w:t>
            </w:r>
          </w:p>
        </w:tc>
        <w:tc>
          <w:tcPr>
            <w:tcW w:type="dxa" w:w="7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Estabelecer um processo de 'limpeza de memória' sempre que uma ADR for revisada: o Tech Lead atualiza o nó correspondente no grafo de memória na mesma sessão em que atualiza a ADR. Adicionar ao checklist do Gate 1 (Spec → Plan): 'O grafo de memória foi atualizado com as decisões desta spec?'</w:t>
            </w:r>
          </w:p>
        </w:tc>
      </w:tr>
    </w:tbl>
    <w:p>
      <w:r>
        <w:t xml:space="preserve"/>
      </w:r>
    </w:p>
    <w:p>
      <w:r>
        <w:br w:type="page"/>
      </w:r>
    </w:p>
    <w:p>
      <w:pPr>
        <w:pStyle w:val="Heading1"/>
        <w:spacing w:after="160" w:before="320"/>
      </w:pPr>
      <w:r>
        <w:rPr>
          <w:rFonts w:ascii="Arial" w:cs="Arial" w:eastAsia="Arial" w:hAnsi="Arial"/>
          <w:b/>
          <w:bCs/>
          <w:color w:val="1F4E79"/>
          <w:sz w:val="32"/>
          <w:szCs w:val="32"/>
        </w:rPr>
        <w:t xml:space="preserve">3. Tabela Resumo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1800"/>
        <w:gridCol w:w="1560"/>
        <w:gridCol w:w="1560"/>
        <w:gridCol w:w="2100"/>
      </w:tblGrid>
      <w:tr>
        <w:tc>
          <w:tcPr>
            <w:tcW w:type="dxa" w:w="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Risco</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Server</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Impacto</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Probabilidade</w:t>
            </w:r>
          </w:p>
        </w:tc>
        <w:tc>
          <w:tcPr>
            <w:tcW w:type="dxa" w:w="21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Mitigação</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Exposição de .env e segredos por escopo amplo</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filesystem-src</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Alto</w:t>
            </w:r>
          </w:p>
        </w:tc>
        <w:tc>
          <w:tcPr>
            <w:tcW w:type="dxa" w:w="15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jc w:val="center"/>
            </w:pPr>
            <w:r>
              <w:rPr>
                <w:rFonts w:ascii="Arial" w:cs="Arial" w:eastAsia="Arial" w:hAnsi="Arial"/>
                <w:b/>
                <w:bCs/>
                <w:color w:val="B7770D"/>
                <w:sz w:val="20"/>
                <w:szCs w:val="20"/>
              </w:rPr>
              <w:t xml:space="preserve">Médio</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Escopos mínimos e explícitos por subpasta</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Escrita sem gate humano em specs e código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filesystem-src</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Alto</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Alto</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Validation gates no AGENTS.md e code review obrigatório</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Read-only por convenção, não por controle técnico</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filesystem-docs-readonly</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Alto</w:t>
            </w:r>
          </w:p>
        </w:tc>
        <w:tc>
          <w:tcPr>
            <w:tcW w:type="dxa" w:w="15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jc w:val="center"/>
            </w:pPr>
            <w:r>
              <w:rPr>
                <w:rFonts w:ascii="Arial" w:cs="Arial" w:eastAsia="Arial" w:hAnsi="Arial"/>
                <w:b/>
                <w:bCs/>
                <w:color w:val="1E8449"/>
                <w:sz w:val="20"/>
                <w:szCs w:val="20"/>
              </w:rPr>
              <w:t xml:space="preserve">Baixo</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Documentação + pre-commit hook de alerta</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Grafo de memória com decisões desatualizadas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w:t>
            </w:r>
          </w:p>
        </w:tc>
        <w:tc>
          <w:tcPr>
            <w:tcW w:type="dxa" w:w="15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jc w:val="center"/>
            </w:pPr>
            <w:r>
              <w:rPr>
                <w:rFonts w:ascii="Arial" w:cs="Arial" w:eastAsia="Arial" w:hAnsi="Arial"/>
                <w:b/>
                <w:bCs/>
                <w:color w:val="B7770D"/>
                <w:sz w:val="20"/>
                <w:szCs w:val="20"/>
              </w:rPr>
              <w:t xml:space="preserve">Médio</w:t>
            </w:r>
          </w:p>
        </w:tc>
        <w:tc>
          <w:tcPr>
            <w:tcW w:type="dxa" w:w="15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jc w:val="center"/>
            </w:pPr>
            <w:r>
              <w:rPr>
                <w:rFonts w:ascii="Arial" w:cs="Arial" w:eastAsia="Arial" w:hAnsi="Arial"/>
                <w:b/>
                <w:bCs/>
                <w:color w:val="B7770D"/>
                <w:sz w:val="20"/>
                <w:szCs w:val="20"/>
              </w:rPr>
              <w:t xml:space="preserve">Médio</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Processo de atualização sincronizado com revisão de ADRs</w:t>
            </w:r>
          </w:p>
        </w:tc>
      </w:tr>
    </w:tbl>
    <w:p>
      <w:r>
        <w:t xml:space="preserve"/>
      </w:r>
    </w:p>
    <w:p>
      <w:r>
        <w:br w:type="page"/>
      </w:r>
    </w:p>
    <w:p>
      <w:pPr>
        <w:pStyle w:val="Heading1"/>
        <w:spacing w:after="160" w:before="320"/>
      </w:pPr>
      <w:r>
        <w:rPr>
          <w:rFonts w:ascii="Arial" w:cs="Arial" w:eastAsia="Arial" w:hAnsi="Arial"/>
          <w:b/>
          <w:bCs/>
          <w:color w:val="1F4E79"/>
          <w:sz w:val="32"/>
          <w:szCs w:val="32"/>
        </w:rPr>
        <w:t xml:space="preserve">4. Observações Gerais</w:t>
      </w:r>
    </w:p>
    <w:p>
      <w:pPr>
        <w:pStyle w:val="Heading2"/>
        <w:spacing w:after="120" w:before="240"/>
      </w:pPr>
      <w:r>
        <w:rPr>
          <w:rFonts w:ascii="Arial" w:cs="Arial" w:eastAsia="Arial" w:hAnsi="Arial"/>
          <w:b/>
          <w:bCs/>
          <w:color w:val="2E75B6"/>
          <w:sz w:val="26"/>
          <w:szCs w:val="26"/>
        </w:rPr>
        <w:t xml:space="preserve">Sobre o ambiente local vs produção</w:t>
      </w:r>
    </w:p>
    <w:p>
      <w:pPr>
        <w:spacing w:after="80" w:before="80"/>
      </w:pPr>
      <w:r>
        <w:rPr>
          <w:rFonts w:ascii="Arial" w:cs="Arial" w:eastAsia="Arial" w:hAnsi="Arial"/>
          <w:sz w:val="22"/>
          <w:szCs w:val="22"/>
        </w:rPr>
        <w:t xml:space="preserve">Os riscos identificados são inerentes ao uso de MCP servers locais em ambiente de desenvolvimento. Em produção, o projeto usará Azure AI Search (em vez do filesystem para retrieval) e Azure Functions (em vez de servers locais), o que elimina naturalmente os Riscos 1, 2 e 3. O Risco 4 (memória desatualizada) permanece relevante independentemente do ambiente.</w:t>
      </w:r>
    </w:p>
    <w:p>
      <w:r>
        <w:t xml:space="preserve"/>
      </w:r>
    </w:p>
    <w:p>
      <w:pPr>
        <w:pStyle w:val="Heading2"/>
        <w:spacing w:after="120" w:before="240"/>
      </w:pPr>
      <w:r>
        <w:rPr>
          <w:rFonts w:ascii="Arial" w:cs="Arial" w:eastAsia="Arial" w:hAnsi="Arial"/>
          <w:b/>
          <w:bCs/>
          <w:color w:val="2E75B6"/>
          <w:sz w:val="26"/>
          <w:szCs w:val="26"/>
        </w:rPr>
        <w:t xml:space="preserve">Princípio de least privilege aplicado</w:t>
      </w:r>
    </w:p>
    <w:p>
      <w:pPr>
        <w:spacing w:after="80" w:before="80"/>
      </w:pPr>
      <w:r>
        <w:rPr>
          <w:rFonts w:ascii="Arial" w:cs="Arial" w:eastAsia="Arial" w:hAnsi="Arial"/>
          <w:sz w:val="22"/>
          <w:szCs w:val="22"/>
        </w:rPr>
        <w:t xml:space="preserve">As seguintes decisões de escopo foram tomadas conscientemente para minimizar a superfície de ataque:</w:t>
      </w:r>
    </w:p>
    <w:p>
      <w:pPr>
        <w:pStyle w:val="ListParagraph"/>
        <w:numPr>
          <w:ilvl w:val="0"/>
          <w:numId w:val="2"/>
        </w:numPr>
        <w:spacing w:after="60" w:before="60"/>
      </w:pPr>
      <w:r>
        <w:rPr>
          <w:rFonts w:ascii="Arial" w:cs="Arial" w:eastAsia="Arial" w:hAnsi="Arial"/>
          <w:b w:val="false"/>
          <w:bCs w:val="false"/>
          <w:sz w:val="22"/>
          <w:szCs w:val="22"/>
        </w:rPr>
        <w:t xml:space="preserve">A raiz do repositório (.) não é escopo de nenhum server filesystem.</w:t>
      </w:r>
    </w:p>
    <w:p>
      <w:pPr>
        <w:pStyle w:val="ListParagraph"/>
        <w:numPr>
          <w:ilvl w:val="0"/>
          <w:numId w:val="2"/>
        </w:numPr>
        <w:spacing w:after="60" w:before="60"/>
      </w:pPr>
      <w:r>
        <w:rPr>
          <w:rFonts w:ascii="Arial" w:cs="Arial" w:eastAsia="Arial" w:hAnsi="Arial"/>
          <w:b w:val="false"/>
          <w:bCs w:val="false"/>
          <w:sz w:val="22"/>
          <w:szCs w:val="22"/>
        </w:rPr>
        <w:t xml:space="preserve">As pastas de documentação e corpus estão em instância separada do código.</w:t>
      </w:r>
    </w:p>
    <w:p>
      <w:pPr>
        <w:pStyle w:val="ListParagraph"/>
        <w:numPr>
          <w:ilvl w:val="0"/>
          <w:numId w:val="2"/>
        </w:numPr>
        <w:spacing w:after="60" w:before="60"/>
      </w:pPr>
      <w:r>
        <w:rPr>
          <w:rFonts w:ascii="Arial" w:cs="Arial" w:eastAsia="Arial" w:hAnsi="Arial"/>
          <w:b w:val="false"/>
          <w:bCs w:val="false"/>
          <w:sz w:val="22"/>
          <w:szCs w:val="22"/>
        </w:rPr>
        <w:t xml:space="preserve">O server git expõe apenas histórico e diff — não permite push para remotos.</w:t>
      </w:r>
    </w:p>
    <w:p>
      <w:pPr>
        <w:pStyle w:val="ListParagraph"/>
        <w:numPr>
          <w:ilvl w:val="0"/>
          <w:numId w:val="2"/>
        </w:numPr>
        <w:spacing w:after="60" w:before="60"/>
      </w:pPr>
      <w:r>
        <w:rPr>
          <w:rFonts w:ascii="Arial" w:cs="Arial" w:eastAsia="Arial" w:hAnsi="Arial"/>
          <w:b w:val="false"/>
          <w:bCs w:val="false"/>
          <w:sz w:val="22"/>
          <w:szCs w:val="22"/>
        </w:rPr>
        <w:t xml:space="preserve">O server everything está restrito ao uso de aprendizado, documentado no AGENTS.md.</w:t>
      </w:r>
    </w:p>
    <w:p>
      <w:r>
        <w:t xml:space="preserve"/>
      </w:r>
    </w:p>
    <w:p>
      <w:pPr>
        <w:pStyle w:val="Heading2"/>
        <w:spacing w:after="120" w:before="240"/>
      </w:pPr>
      <w:r>
        <w:rPr>
          <w:rFonts w:ascii="Arial" w:cs="Arial" w:eastAsia="Arial" w:hAnsi="Arial"/>
          <w:b/>
          <w:bCs/>
          <w:color w:val="2E75B6"/>
          <w:sz w:val="26"/>
          <w:szCs w:val="26"/>
        </w:rPr>
        <w:t xml:space="preserve">Limitação conhecida desta análise</w:t>
      </w:r>
    </w:p>
    <w:p>
      <w:pPr>
        <w:spacing w:after="80" w:before="80"/>
      </w:pPr>
      <w:r>
        <w:rPr>
          <w:rFonts w:ascii="Arial" w:cs="Arial" w:eastAsia="Arial" w:hAnsi="Arial"/>
          <w:sz w:val="22"/>
          <w:szCs w:val="22"/>
        </w:rPr>
        <w:t xml:space="preserve">Esta análise cobre riscos do setup local de MCP. Riscos de segurança da aplicação em si (injetção de prompt, envenenamento do índice RAG, exposição de dados do cliente) serão tratados em documento separado de modelagem de ameaças da aplicação NovaTech Assistant.</w:t>
      </w:r>
    </w:p>
    <w:p>
      <w:r>
        <w:t xml:space="preserve"/>
      </w:r>
    </w:p>
    <w:p>
      <w:pPr>
        <w:pBdr>
          <w:bottom w:val="single" w:color="2E75B6" w:sz="4" w:space="1"/>
        </w:pBdr>
        <w:spacing w:after="160" w:before="160"/>
      </w:pPr>
    </w:p>
    <w:p>
      <w:pPr>
        <w:spacing w:after="0" w:before="200"/>
        <w:jc w:val="center"/>
      </w:pPr>
      <w:r>
        <w:rPr>
          <w:rFonts w:ascii="Arial" w:cs="Arial" w:eastAsia="Arial" w:hAnsi="Arial"/>
          <w:color w:val="888888"/>
          <w:sz w:val="18"/>
          <w:szCs w:val="18"/>
        </w:rPr>
        <w:t xml:space="preserve">NovaTech Assistant — Dev 2.1 — Análise de Riscos MCP — junho/2026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2026-06-16T00:45:39.768Z</dcterms:created>
  <dcterms:modified xsi:type="dcterms:W3CDTF">2026-06-16T00:45:39.769Z</dcterms:modified>
</cp:coreProperties>
</file>

<file path=docProps/custom.xml><?xml version="1.0" encoding="utf-8"?>
<Properties xmlns="http://schemas.openxmlformats.org/officeDocument/2006/custom-properties" xmlns:vt="http://schemas.openxmlformats.org/officeDocument/2006/docPropsVTypes"/>
</file>