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</w:pPr>
      <w:r>
        <w:t>Estrutura de contexto — Assistente NovaTech</w:t>
      </w:r>
    </w:p>
    <w:p>
      <w:pPr>
        <w:spacing w:after="240" w:beforeAutospacing="0" w:afterAutospacing="0"/>
      </w:pPr>
      <w:r>
        <w:rPr>
          <w:rFonts w:ascii="Arial" w:hAnsi="Arial" w:cs="Arial" w:eastAsia="Arial"/>
          <w:color w:val="444444"/>
          <w:sz w:val="22"/>
          <w:szCs w:val="22"/>
        </w:rPr>
        <w:t>Documentação das partes estáticas e dinâmicas de uma query de produção, com estimativas de tokens e critérios de variação.</w:t>
      </w:r>
    </w:p>
    <w:p>
      <w:pPr>
        <w:pStyle w:val="P3"/>
      </w:pPr>
      <w:r>
        <w:t>1. Tabela de componentes do contexto</w:t>
      </w:r>
    </w:p>
    <w:p>
      <w:pPr>
        <w:spacing w:after="160" w:beforeAutospacing="0" w:afterAutospacing="0"/>
      </w:pPr>
      <w:r>
        <w:rPr>
          <w:rFonts w:ascii="Arial" w:hAnsi="Arial" w:cs="Arial" w:eastAsia="Arial"/>
          <w:i w:val="1"/>
          <w:iCs w:val="1"/>
          <w:color w:val="555555"/>
          <w:sz w:val="20"/>
          <w:szCs w:val="20"/>
        </w:rPr>
        <w:t>Regra de estimativa: 1 token ≈ 0,75 palavras (contagem de palavras ÷ 0,75). Estimativas baseadas no texto bruto de cada seção do system prompt.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400"/>
        <w:gridCol w:w="1100"/>
        <w:gridCol w:w="1300"/>
        <w:gridCol w:w="4560"/>
      </w:tblGrid>
      <w:tr>
        <w:trPr>
          <w:tblHeader/>
        </w:trP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Parte do contexto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Est. tokens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Muda por query?</w:t>
            </w:r>
          </w:p>
        </w:tc>
      </w:tr>
      <w:tr>
        <w:tc>
          <w:tcPr>
            <w:tcW w:w="9360" w:type="dxa"/>
            <w:gridSpan w:val="4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1F4E79"/>
                <w:sz w:val="18"/>
                <w:szCs w:val="18"/>
              </w:rPr>
              <w:t>SYSTEM PROMPT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Seção 1 — Identidade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Papel, interlocutor, integração Teams, postura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0C447C"/>
                <w:sz w:val="18"/>
                <w:szCs w:val="18"/>
              </w:rPr>
              <w:t>Estático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~90 tokens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Não. Define o papel fixo do assistente. Só muda em redesign do sistema.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Seção 2 — Regras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5 regras operacionais (citação, proibição, ausência, idioma, exceções)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0C447C"/>
                <w:sz w:val="18"/>
                <w:szCs w:val="18"/>
              </w:rPr>
              <w:t>Estático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~230 tokens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Não. Regras universais aplicadas a todas as queries sem variação.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Seção 3 — Instruções para chunks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Uso, conflito, informação parcial, ausência total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0C447C"/>
                <w:sz w:val="18"/>
                <w:szCs w:val="18"/>
              </w:rPr>
              <w:t>Estático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~200 tokens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7F9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Não. Meta-instrução sobre como processar qualquer conjunto de chunks.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Seção 4 — Formato de resposta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Estrutura obrigatória, exemplos de template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0C447C"/>
                <w:sz w:val="18"/>
                <w:szCs w:val="18"/>
              </w:rPr>
              <w:t>Estático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~210 tokens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Não. Template de output fixo. Só muda em revisão de design do assistente.</w:t>
            </w:r>
          </w:p>
        </w:tc>
      </w:tr>
      <w:tr>
        <w:tc>
          <w:tcPr>
            <w:tcW w:w="9360" w:type="dxa"/>
            <w:gridSpan w:val="4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1F4E79"/>
                <w:sz w:val="18"/>
                <w:szCs w:val="18"/>
              </w:rPr>
              <w:t>DADOS INJETADOS POR QUERY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Chunks recuperados (RAG)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Trechos dos documentos internos da NovaTech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633806"/>
                <w:sz w:val="18"/>
                <w:szCs w:val="18"/>
              </w:rPr>
              <w:t>Dinâmico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~800 tokens (3 chunks × ~200 tok)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Sim. Determinado pela similaridade semântica entre a pergunta e o índice vetorial. Muda a cada nova query.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Dados do cliente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Tier, número de contrato, campos de CRM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633806"/>
                <w:sz w:val="18"/>
                <w:szCs w:val="18"/>
              </w:rPr>
              <w:t>Dinâmico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~40 tokens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Sim. Determinado pelo cliente ativo no chamado. Muda a cada novo chamado ou atendente.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Histórico da sessão (Teams)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Turns anteriores da conversa no chamado ativo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633806"/>
                <w:sz w:val="18"/>
                <w:szCs w:val="18"/>
              </w:rPr>
              <w:t>Dinâmico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~0 tokens (sessão nova = vazio)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B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Sim. Cresce a cada turn. Determinado pelo tempo/profundidade da sessão no Teams. Acúmulo irreversível.</w:t>
            </w:r>
          </w:p>
        </w:tc>
      </w:tr>
      <w:tr>
        <w:tc>
          <w:tcPr>
            <w:tcW w:w="24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Pergunta do atendente</w:t>
            </w:r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 xml:space="preserve"> Input imediato que dispara a query</w:t>
            </w:r>
          </w:p>
        </w:tc>
        <w:tc>
          <w:tcPr>
            <w:tcW w:w="11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b w:val="1"/>
                <w:bCs w:val="1"/>
                <w:color w:val="633806"/>
                <w:sz w:val="18"/>
                <w:szCs w:val="18"/>
              </w:rPr>
              <w:t>Dinâmico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~20 tokens (~15 palavras típicas)</w:t>
            </w:r>
          </w:p>
        </w:tc>
        <w:tc>
          <w:tcPr>
            <w:tcW w:w="4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Sim. Muda a cada interação. Determina o vetor de busca RAG e o contexto de resposta.</w:t>
            </w:r>
          </w:p>
        </w:tc>
      </w:tr>
    </w:tbl>
    <w:p>
      <w:pPr>
        <w:spacing w:after="320" w:beforeAutospacing="0" w:afterAutospacing="0"/>
      </w:pPr>
    </w:p>
    <w:p>
      <w:pPr>
        <w:pStyle w:val="P3"/>
      </w:pPr>
      <w:r>
        <w:t>2. Orçamento de tokens por query típica</w:t>
      </w:r>
    </w:p>
    <w:p>
      <w:pPr>
        <w:spacing w:after="160" w:beforeAutospacing="0" w:afterAutospacing="0"/>
      </w:pPr>
      <w:r>
        <w:rPr>
          <w:rFonts w:ascii="Arial" w:hAnsi="Arial" w:cs="Arial" w:eastAsia="Arial"/>
          <w:i w:val="1"/>
          <w:iCs w:val="1"/>
          <w:color w:val="555555"/>
          <w:sz w:val="20"/>
          <w:szCs w:val="20"/>
        </w:rPr>
        <w:t>Assumeções: 3 chunks de ~200 tokens cada, histórico vazio (sessão nova), pergunta de ~15 palavras.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000" w:type="dxa"/>
            <w:tcBorders>
              <w:top w:val="single" w:sz="4" w:space="0" w:shadow="0" w:frame="0" w:color="1F4E79"/>
              <w:left w:val="single" w:sz="4" w:space="0" w:shadow="0" w:frame="0" w:color="1F4E79"/>
              <w:bottom w:val="single" w:sz="4" w:space="0" w:shadow="0" w:frame="0" w:color="1F4E79"/>
              <w:right w:val="single" w:sz="4" w:space="0" w:shadow="0" w:frame="0" w:color="1F4E79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>Total estático</w:t>
            </w:r>
          </w:p>
          <w:p>
            <w:r>
              <w:rPr>
                <w:rFonts w:ascii="Arial" w:hAnsi="Arial" w:cs="Arial" w:eastAsia="Arial"/>
                <w:b w:val="1"/>
                <w:bCs w:val="1"/>
                <w:color w:val="1F4E79"/>
                <w:sz w:val="36"/>
                <w:szCs w:val="36"/>
              </w:rPr>
              <w:t>~730 tokens</w:t>
            </w:r>
          </w:p>
          <w:p>
            <w:r>
              <w:rPr>
                <w:rFonts w:ascii="Arial" w:hAnsi="Arial" w:cs="Arial" w:eastAsia="Arial"/>
                <w:color w:val="777777"/>
                <w:sz w:val="16"/>
                <w:szCs w:val="16"/>
              </w:rPr>
              <w:t>Seções 1–4 do system prompt</w:t>
            </w:r>
          </w:p>
        </w:tc>
        <w:tc>
          <w:tcPr>
            <w:tcW w:w="3000" w:type="dxa"/>
            <w:tcBorders>
              <w:top w:val="single" w:sz="4" w:space="0" w:shadow="0" w:frame="0" w:color="1F4E79"/>
              <w:left w:val="single" w:sz="4" w:space="0" w:shadow="0" w:frame="0" w:color="1F4E79"/>
              <w:bottom w:val="single" w:sz="4" w:space="0" w:shadow="0" w:frame="0" w:color="1F4E79"/>
              <w:right w:val="single" w:sz="4" w:space="0" w:shadow="0" w:frame="0" w:color="1F4E79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>Total dinâmico (sessão nova)</w:t>
            </w:r>
          </w:p>
          <w:p>
            <w:r>
              <w:rPr>
                <w:rFonts w:ascii="Arial" w:hAnsi="Arial" w:cs="Arial" w:eastAsia="Arial"/>
                <w:b w:val="1"/>
                <w:bCs w:val="1"/>
                <w:color w:val="1F4E79"/>
                <w:sz w:val="36"/>
                <w:szCs w:val="36"/>
              </w:rPr>
              <w:t>~860 tokens</w:t>
            </w:r>
          </w:p>
          <w:p>
            <w:r>
              <w:rPr>
                <w:rFonts w:ascii="Arial" w:hAnsi="Arial" w:cs="Arial" w:eastAsia="Arial"/>
                <w:color w:val="777777"/>
                <w:sz w:val="16"/>
                <w:szCs w:val="16"/>
              </w:rPr>
              <w:t>3 chunks + cliente + pergunta</w:t>
            </w:r>
          </w:p>
        </w:tc>
        <w:tc>
          <w:tcPr>
            <w:tcW w:w="3000" w:type="dxa"/>
            <w:tcBorders>
              <w:top w:val="single" w:sz="4" w:space="0" w:shadow="0" w:frame="0" w:color="1F4E79"/>
              <w:left w:val="single" w:sz="4" w:space="0" w:shadow="0" w:frame="0" w:color="1F4E79"/>
              <w:bottom w:val="single" w:sz="4" w:space="0" w:shadow="0" w:frame="0" w:color="1F4E79"/>
              <w:right w:val="single" w:sz="4" w:space="0" w:shadow="0" w:frame="0" w:color="1F4E79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rFonts w:ascii="Arial" w:hAnsi="Arial" w:cs="Arial" w:eastAsia="Arial"/>
                <w:color w:val="555555"/>
                <w:sz w:val="18"/>
                <w:szCs w:val="18"/>
              </w:rPr>
              <w:t>Total por query típica</w:t>
            </w:r>
          </w:p>
          <w:p>
            <w:r>
              <w:rPr>
                <w:rFonts w:ascii="Arial" w:hAnsi="Arial" w:cs="Arial" w:eastAsia="Arial"/>
                <w:b w:val="1"/>
                <w:bCs w:val="1"/>
                <w:color w:val="1F4E79"/>
                <w:sz w:val="36"/>
                <w:szCs w:val="36"/>
              </w:rPr>
              <w:t>~1.590 tokens</w:t>
            </w:r>
          </w:p>
          <w:p>
            <w:r>
              <w:rPr>
                <w:rFonts w:ascii="Arial" w:hAnsi="Arial" w:cs="Arial" w:eastAsia="Arial"/>
                <w:color w:val="777777"/>
                <w:sz w:val="16"/>
                <w:szCs w:val="16"/>
              </w:rPr>
              <w:t>Estático + dinâmico (input)</w:t>
            </w:r>
          </w:p>
        </w:tc>
      </w:tr>
    </w:tbl>
    <w:p>
      <w:pPr>
        <w:spacing w:after="320" w:beforeAutospacing="0" w:afterAutospacing="0"/>
      </w:pPr>
    </w:p>
    <w:p>
      <w:pPr>
        <w:pStyle w:val="P3"/>
      </w:pPr>
      <w:r>
        <w:t>3. Impacto do histórico acumulado (10 turns)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2"/>
          <w:szCs w:val="22"/>
        </w:rPr>
        <w:t>Com 10 turns de histórico, assumindo uma média de ~150 tokens por turn (pergunta + resposta), o histórico sozinho adiciona aproximadamente 1.500 tokens à query. Somados ao baseline de ~1.590 tokens, o total do contexto de entrada sobe para cerca de 3.090 tokens — mais que o dobro de uma sessão nova.</w:t>
      </w:r>
    </w:p>
    <w:p>
      <w:r>
        <w:rPr>
          <w:rFonts w:ascii="Arial" w:hAnsi="Arial" w:cs="Arial" w:eastAsia="Arial"/>
          <w:b w:val="1"/>
          <w:bCs w:val="1"/>
          <w:sz w:val="22"/>
          <w:szCs w:val="22"/>
        </w:rPr>
        <w:t>Consequências práticas:</w:t>
      </w:r>
    </w:p>
    <w:p>
      <w:pPr>
        <w:spacing w:before="80" w:beforeAutospacing="0" w:afterAutospacing="0"/>
      </w:pPr>
      <w:r>
        <w:rPr>
          <w:rFonts w:ascii="Arial" w:hAnsi="Arial" w:cs="Arial" w:eastAsia="Arial"/>
          <w:sz w:val="22"/>
          <w:szCs w:val="22"/>
        </w:rPr>
        <w:t>(1) O custo por query aumenta proporcionalmente ao número de turns acumulados.</w:t>
      </w:r>
    </w:p>
    <w:p>
      <w:pPr>
        <w:spacing w:before="80" w:beforeAutospacing="0" w:afterAutospacing="0"/>
      </w:pPr>
      <w:r>
        <w:rPr>
          <w:rFonts w:ascii="Arial" w:hAnsi="Arial" w:cs="Arial" w:eastAsia="Arial"/>
          <w:sz w:val="22"/>
          <w:szCs w:val="22"/>
        </w:rPr>
        <w:t>(2) Em modelos com janela de contexto menor, o histórico antigo pode ser truncado, gerando perda de coerência entre turns.</w:t>
      </w:r>
    </w:p>
    <w:p>
      <w:pPr>
        <w:spacing w:before="80" w:after="160" w:beforeAutospacing="0" w:afterAutospacing="0"/>
      </w:pPr>
      <w:r>
        <w:rPr>
          <w:rFonts w:ascii="Arial" w:hAnsi="Arial" w:cs="Arial" w:eastAsia="Arial"/>
          <w:sz w:val="22"/>
          <w:szCs w:val="22"/>
        </w:rPr>
        <w:t>(3) Se o histórico contiver respostas longas com detalhamento de chunks (~300–400 tok cada), 10 turns podem chegar a 3.500–4.000 tokens adicionais.</w:t>
      </w:r>
    </w:p>
    <w:p>
      <w:pPr>
        <w:pBdr>
          <w:top w:val="none" w:sz="0" w:space="0" w:shadow="0" w:frame="0" w:color="auto"/>
          <w:left w:val="single" w:sz="12" w:space="10" w:shadow="0" w:frame="0" w:color="2E75B6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60" w:after="80" w:beforeAutospacing="0" w:afterAutospacing="0"/>
        <w:ind w:left="360"/>
      </w:pPr>
      <w:r>
        <w:rPr>
          <w:rFonts w:ascii="Arial" w:hAnsi="Arial" w:cs="Arial" w:eastAsia="Arial"/>
          <w:b w:val="1"/>
          <w:bCs w:val="1"/>
          <w:color w:val="1F4E79"/>
          <w:sz w:val="22"/>
          <w:szCs w:val="22"/>
        </w:rPr>
        <w:t>Recomendação: definir uma política de truncamento ou sumarização do histórico após 6–8 turns para manter o orçamento previsível e os custos estáveis.</w:t>
      </w:r>
    </w:p>
    <w:sectPr>
      <w:type w:val="nextPage"/>
      <w:pgMar w:left="1440" w:right="1440" w:top="1440" w:bottom="1440" w:header="708" w:footer="708" w:gutter="0"/>
      <w:pgNumType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30C1C74F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4"/>
        <w:szCs w:val="24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320" w:after="160" w:beforeAutospacing="0" w:afterAutospacing="0"/>
      <w:outlineLvl w:val="0"/>
    </w:pPr>
    <w:rPr>
      <w:rFonts w:ascii="Arial" w:hAnsi="Arial" w:cs="Arial" w:eastAsia="Arial"/>
      <w:b w:val="1"/>
      <w:bCs w:val="1"/>
      <w:color w:val="1F4E79"/>
      <w:sz w:val="36"/>
      <w:szCs w:val="36"/>
    </w:rPr>
  </w:style>
  <w:style w:type="paragraph" w:styleId="P3">
    <w:name w:val="Heading 2"/>
    <w:qFormat/>
    <w:pPr>
      <w:spacing w:before="260" w:after="120" w:beforeAutospacing="0" w:afterAutospacing="0"/>
      <w:outlineLvl w:val="1"/>
    </w:pPr>
    <w:rPr>
      <w:rFonts w:ascii="Arial" w:hAnsi="Arial" w:cs="Arial" w:eastAsia="Arial"/>
      <w:b w:val="1"/>
      <w:bCs w:val="1"/>
      <w:color w:val="2E75B6"/>
      <w:sz w:val="28"/>
      <w:szCs w:val="28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2026-06-06T01:10:21Z</dcterms:created>
  <cp:lastModifiedBy>Lucilene Zancani Ruiz Fernandes</cp:lastModifiedBy>
  <dcterms:modified xsi:type="dcterms:W3CDTF">2026-06-06T01:10:21Z</dcterms:modified>
  <cp:revision>2</cp:revision>
</cp:coreProperties>
</file>