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40"/>
        <w:jc w:val="center"/>
      </w:pPr>
      <w:r>
        <w:rPr>
          <w:rFonts w:ascii="Calibri" w:hAnsi="Calibri"/>
          <w:b/>
          <w:color w:val="A8872F"/>
          <w:sz w:val="22"/>
        </w:rPr>
        <w:t>MANUAL DE DEMOSTRACIÓN</w:t>
      </w:r>
    </w:p>
    <w:p>
      <w:pPr>
        <w:jc w:val="center"/>
      </w:pPr>
      <w:r>
        <w:rPr>
          <w:rFonts w:ascii="Calibri" w:hAnsi="Calibri"/>
          <w:b/>
          <w:color w:val="071827"/>
          <w:sz w:val="62"/>
        </w:rPr>
        <w:t>Auct.io</w:t>
      </w:r>
    </w:p>
    <w:p>
      <w:pPr>
        <w:jc w:val="center"/>
      </w:pPr>
      <w:r>
        <w:rPr>
          <w:rFonts w:ascii="Calibri" w:hAnsi="Calibri"/>
          <w:color w:val="475569"/>
          <w:sz w:val="30"/>
        </w:rPr>
        <w:t>Flujos funcionales, controles y plan de pruebas</w:t>
      </w:r>
    </w:p>
    <w:p>
      <w:pPr>
        <w:spacing w:before="1200"/>
        <w:jc w:val="center"/>
      </w:pPr>
      <w:r>
        <w:rPr>
          <w:rFonts w:ascii="Calibri" w:hAnsi="Calibri"/>
          <w:b/>
          <w:color w:val="071827"/>
          <w:sz w:val="22"/>
        </w:rPr>
        <w:t>Android + Node.js + Azure SQL + Render</w:t>
      </w:r>
    </w:p>
    <w:p>
      <w:pPr>
        <w:jc w:val="center"/>
      </w:pPr>
      <w:r>
        <w:rPr>
          <w:rFonts w:ascii="Calibri" w:hAnsi="Calibri"/>
          <w:color w:val="475569"/>
          <w:sz w:val="20"/>
        </w:rPr>
        <w:t>Revisión integral · 27 de junio de 2026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3F0E8"/>
          </w:tcPr>
          <w:p>
            <w:r>
              <w:rPr>
                <w:rFonts w:ascii="Calibri" w:hAnsi="Calibri"/>
                <w:b/>
                <w:color w:val="A8872F"/>
                <w:sz w:val="20"/>
              </w:rPr>
              <w:t>PROPÓSITO</w:t>
              <w:br/>
            </w:r>
            <w:r>
              <w:rPr>
                <w:rFonts w:ascii="Calibri" w:hAnsi="Calibri"/>
                <w:color w:val="071827"/>
                <w:sz w:val="19"/>
              </w:rPr>
              <w:t>Ejecutar una demo reproducible de punta a punta y verificar cada regla crítica de la tercera entrega.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1. Inicio rápido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Este documento está pensado para quien presenta, prueba o corrige la aplicación. Cada flujo indica precondiciones, acciones, resultado esperado y controles negativos.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Entorno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/>
          <w:cantSplit/>
        </w:trPr>
        <w:tc>
          <w:tcPr>
            <w:tcW w:type="dxa" w:w="2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Componente</w:t>
            </w:r>
          </w:p>
        </w:tc>
        <w:tc>
          <w:tcPr>
            <w:tcW w:type="dxa" w:w="70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Referencia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Aplicación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APK Android de Auct.io</w:t>
            </w:r>
          </w:p>
        </w:tc>
      </w:tr>
      <w:tr>
        <w:trPr>
          <w:cantSplit/>
        </w:trPr>
        <w:tc>
          <w:tcPr>
            <w:tcW w:type="dxa" w:w="2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API</w:t>
            </w:r>
          </w:p>
        </w:tc>
        <w:tc>
          <w:tcPr>
            <w:tcW w:type="dxa" w:w="70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https://auct-io-api.onrender.com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Persistencia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Azure SQL — datos de demo XL</w:t>
            </w:r>
          </w:p>
        </w:tc>
      </w:tr>
      <w:tr>
        <w:trPr>
          <w:cantSplit/>
        </w:trPr>
        <w:tc>
          <w:tcPr>
            <w:tcW w:type="dxa" w:w="2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Administrador</w:t>
            </w:r>
          </w:p>
        </w:tc>
        <w:tc>
          <w:tcPr>
            <w:tcW w:type="dxa" w:w="70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20000111 · clave 1234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principal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30123456 · clave 1234</w:t>
            </w:r>
          </w:p>
        </w:tc>
      </w:tr>
      <w:tr>
        <w:trPr>
          <w:cantSplit/>
        </w:trPr>
        <w:tc>
          <w:tcPr>
            <w:tcW w:type="dxa" w:w="2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alternativo</w:t>
            </w:r>
          </w:p>
        </w:tc>
        <w:tc>
          <w:tcPr>
            <w:tcW w:type="dxa" w:w="70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30999888 · clave 1234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bloqueado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31888777 · clave 1234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3F0E8"/>
          </w:tcPr>
          <w:p>
            <w:r>
              <w:rPr>
                <w:rFonts w:ascii="Calibri" w:hAnsi="Calibri"/>
                <w:b/>
                <w:color w:val="A8872F"/>
                <w:sz w:val="20"/>
              </w:rPr>
              <w:t>IMPORTANTE</w:t>
              <w:br/>
            </w:r>
            <w:r>
              <w:rPr>
                <w:rFonts w:ascii="Calibri" w:hAnsi="Calibri"/>
                <w:color w:val="071827"/>
                <w:sz w:val="19"/>
              </w:rPr>
              <w:t>La instancia gratuita de Render puede tardar hasta 60 segundos en despertar. Esperar la primera respuesta antes de concluir que hay una falla.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Recorrido sugerido de 12 minutos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Ingresar como cliente y mostrar Inicio, Estadísticas y Avisos.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Abrir una subasta y pujar por dos lotes distintos.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Comprobar ambos lotes en Historial.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Mostrar una compra y elegir el medio de pago.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Consignar un producto con seis fotos.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Ingresar como administrador y resolver fichas sin escribir IDs.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Cerrar con la matriz de reglas y pruebas negativas.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2. Registro y verificación de identidad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nuevo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Crear una cuenta verificable y asignarle categoría.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Usar un documento y correo no existentes.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Disponer de imágenes legibles del frente y dorso del DNI.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Completar datos personales y avanzar al segundo paso.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Adjuntar ambas caras del documento y finalizar.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Comprobar la pantalla de verificación pendiente.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Ingresar como administrador y tocar la ficha del usuario.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Revisar identidad, contacto y documentación; aprobar y elegir categoría.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cliente queda admitido y recibe un aviso.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 categoría asignada condiciona qué subastas puede pujar.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Rechazar documentación incompleta.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Intentar iniciar sesión antes de la admisión: debe impedirse.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3. Medios de pago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Registrar, verificar y mantener varios medios.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Cliente admitido y sesión iniciada.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Medios de pago y crear una cuenta, tarjeta o cheque.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Elegir moneda y completar entidad/referencia.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Ingresar como administrador y tocar la ficha pendiente.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Revisar titular, entidad, referencia, moneda y compatibilidad; aprobar en un toque.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Volver como cliente y comprobar el estado verificado.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medio queda disponible para pujar y pagar.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Cada alta, edición y decisión genera un aviso.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medio editado vuelve a revisión.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Una tarjeta no internacional no habilita una subasta en dólares.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cheque no permite superar la garantía disponible.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4. Catálogo, puja y varios artículos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comprador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Ofertar por más de un lote y visualizar cada participación.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Cliente admitido, sin multas ni compras vencidas.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Medio verificado compatible con la moneda.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Categoría igual o superior a la subasta.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una subasta disponible.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Recorrer todos los lotes abiertos; cada uno debe mostrar PUJAR POR ESTE LOTE.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Pujar por un primer lote y esperar confirmación del servidor.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Sin salir de la subasta, pujar por otro lote abierto del mismo catálogo.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Comprobar que mejores ofertas y liderazgos cambian solos en dos teléfonos.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Abrir Historial y verificar dos fichas independientes actualizadas automáticamente.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7. Tocar cada ficha para volver a su subasta.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Puede haber varios lotes recibiendo pujas simultáneamente dentro del catálogo.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Cada lote conserva oferta propia, mejor actual y estado GANADO/LIDERANDO/SUPERADA.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WebSocket sincroniza el catálogo y se reconecta si se corta la red.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 puja genera un aviso y nunca reemplaza a otra participación.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Abrir dos teléfonos en la misma subasta: ambos deben recibir el mismo snapshot por WebSocket.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Probar menos de mejor oferta + 1% de base: rechazo.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Probar más de mejor oferta + 20% de base en categorías no premium: rechazo.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Entrar a otra subasta sin haber ofertado: debe permitir confirmar el cambio.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Intentar cambiar luego de pujar: debe conservar el vínculo y explicar el motivo.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5. Adjudicación y pago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Ganador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Cerrar el lote, generar la compra y elegir cómo abonarla.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Lote activo con al menos una oferta.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Ganador con un medio verificado compatible.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Desde el panel interno elegir Cerrar lote.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Seleccionar la ficha que muestra artículo, pujas y mejor oferta.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Confirmar adjudicación.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Ingresar como ganador y abrir Compras.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Tocar ELEGIR MEDIO Y PAGAR.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Seleccionar uno de los medios compatibles y confirmar.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 venta conserva importe, comisión, envío, moneda y medio elegido.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estado pasa a pagado y aparece un aviso de acreditación.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cheque insuficiente debe rechazarse.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medio de otro cliente o no verificado debe rechazarse.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Tras 72 h impago, el cliente no puede volver a pujar.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6. Consignación de un producto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vendedor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Ingresar un bien, negociar condiciones e incorporarlo a una subasta.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Cliente admitido.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Al menos seis fotos del artículo.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Descripción, procedencia y declaración de propiedad.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Consignar y completar toda la ficha.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Adjuntar seis o más fotos sin deformación.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Enviar a inspección.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Como administrador tocar la ficha, revisar toda la información y enviar precio base/comisión.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Como cliente aceptar la propuesta.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Como administrador elegir Asignar a subasta, seleccionar producto y destino por nombre y confirmar.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producto recorre estados auditables y cada cambio crea un aviso.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Solo un producto aceptado por su titular puede incorporarse al catálogo.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Con menos de seis fotos debe impedirse el envío.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rechazo requiere motivo.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No debe asignarse un producto todavía pendiente.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7. Operación administrativa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Empleado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Resolver pendientes y administrar subastas sin conocer IDs.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Ingresar con 20000111 / 1234.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Actualizar pendientes.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Tocar cada usuario, medio o consignación para ver su ficha.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Aprobar o rechazar desde la ficha.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Gestionar altas, modificaciones, cancelaciones y bajas de subastas.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Asignar productos mediante selectores descriptivos.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Cerrar lotes desde la lista de lotes abiertos.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7. Aplicar multa desde la lista de impagos vencidos; confirmar el 10% calculado.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No se solicita copiar IDs técnicos.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Cada decisión muestra confirmación estándar y actualiza pendientes.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Una subasta con dependencias no debe eliminarse.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No debe ofrecerse multa antes de 72 horas ni duplicar una pendiente.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8. Avisos y estadísticas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Consultar trazabilidad y actividad personal.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Haber realizado al menos una acción relevante.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Avisos y revisar los eventos ordenados.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Marcar un aviso como leído.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Abrir Estadísticas.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Comparar subastas, lotes, pujas, ganados, consignados y avisos.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Revisar barras por categoría y actividad reciente.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Las métricas coinciden con Historial y Compras.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Las acciones relevantes quedan persistidas, no solo mostradas en un popup.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usuario sin actividad debe ver estados vacíos claros, no una pantalla rota.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9. Matriz de pruebas negativas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3300"/>
        <w:gridCol w:w="5160"/>
      </w:tblGrid>
      <w:tr>
        <w:trPr>
          <w:tblHeader/>
          <w:cantSplit/>
        </w:trPr>
        <w:tc>
          <w:tcPr>
            <w:tcW w:type="dxa" w:w="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Caso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Acción</w:t>
            </w:r>
          </w:p>
        </w:tc>
        <w:tc>
          <w:tcPr>
            <w:tcW w:type="dxa" w:w="5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sin medio verificado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con explicación y acceso a medios de pago.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N02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con categoría inferior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por categoría insuficiente.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N03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con multa pendiente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hasta regularización.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N04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con compra vencida &gt;72 h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por incumplimiento.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N05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 menor al mínimo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HTTP 400; no insertar oferta.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N06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 mayor al máximo no premium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HTTP 400; mostrar máximo permitido.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N07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Pagar con moneda incompatible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No ofrecer el medio o rechazarlo en servidor.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N08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Consignar con menos de 6 fotos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No crear producto.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N09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Asignar producto no aceptado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Conflicto; no crear lote.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N10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Cerrar lote sin ofertas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Compra automática por la empresa al precio base.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N11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Entrar a dos subastas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Mantener una sola sesión activa.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N12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Eliminar subasta con dependencias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Rechazo y conservación de datos.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10. Cumplimiento de la consigna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500"/>
        <w:gridCol w:w="5960"/>
      </w:tblGrid>
      <w:tr>
        <w:trPr>
          <w:tblHeader/>
          <w:cantSplit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Área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Estado</w:t>
            </w:r>
          </w:p>
        </w:tc>
        <w:tc>
          <w:tcPr>
            <w:tcW w:type="dxa" w:w="59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Identidad y categoría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Registro en dos pasos, DNI, revisión y categoría.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Pagos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Múltiples medios, verificación, moneda, cheque y selección al pagar.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Tiempo real, reglas 1%/20%, confirmación y trazabilidad.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Adjudicación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Ganador, comisión, envío, retiro y compra sin ofertas.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Impagos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72 h, bloqueo y multa automática sugerida del 10%.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Consignación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6 fotos, propiedad, inspección, propuesta y aceptación.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Administración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Información completa y decisiones sin IDs manuales.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Estadísticas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Participaciones, pujas, categorías, ganados e importes.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Video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Fuera de alcance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La consigna lo excluye expresamente.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Servicios externos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Representados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Póliza, correo y fondos reales requieren proveedor productivo.</w:t>
            </w:r>
          </w:p>
        </w:tc>
      </w:tr>
    </w:tbl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Las integraciones de aseguradora, correo transaccional, banco adquirente y transferencia al consignante se modelan mediante estados y avisos persistentes. En un despliegue productivo deben conectarse a proveedores con credenciales reales; la entrega no procesa dinero ni emite pólizas reales.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11. Checklist visual y de cierre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encabezado ocupa una franja compacta y no empuja el contenido fuera de pantalla.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Ninguna fotografía se estira: se usa recorte proporcional en tarjetas y ajuste contenido en galerías.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Todos los popups usan fondo, iconos, tipografía y acciones consistentes con Auct.io.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Botones principales tienen altura táctil suficiente y estados habilitado/deshabilitado visibles.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Listas vacías explican qué falta hacer.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Los formularios validan antes de enviar y el backend vuelve a validar reglas económicas.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Las operaciones exitosas actualizan la pantalla y generan aviso cuando corresponde.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Probar en teléfono real: inicio, rotación bloqueada si aplica, teclado, scroll y retorno.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Confirmar API /api/health y esperar el despertar de Render antes de la demo.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Usar datos demo; no compartir credenciales reales de Azure SQL en capturas o repositorios.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3F0E8"/>
          </w:tcPr>
          <w:p>
            <w:r>
              <w:rPr>
                <w:rFonts w:ascii="Calibri" w:hAnsi="Calibri"/>
                <w:b/>
                <w:color w:val="166534"/>
                <w:sz w:val="20"/>
              </w:rPr>
              <w:t>CRITERIO DE APROBACIÓN</w:t>
              <w:br/>
            </w:r>
            <w:r>
              <w:rPr>
                <w:rFonts w:ascii="Calibri" w:hAnsi="Calibri"/>
                <w:color w:val="071827"/>
                <w:sz w:val="19"/>
              </w:rPr>
              <w:t>La demo se considera lista cuando los ocho flujos principales y los doce controles negativos arrojan los resultados esperados sin cierres de la app, contenido recortado ni datos inconsistentes.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475569"/>
        <w:sz w:val="17"/>
      </w:rPr>
      <w:t xml:space="preserve">Entrega 3  ·  Grupo 15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475569"/>
        <w:sz w:val="17"/>
      </w:rPr>
      <w:t>AUCT.IO  |  GUÍA DE OPERACIÓN Y PRUEBAS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A8872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7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